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CE79E">
      <w:pPr>
        <w:pStyle w:val="13"/>
        <w:adjustRightInd w:val="0"/>
        <w:snapToGrid w:val="0"/>
        <w:spacing w:before="120" w:after="120" w:line="360" w:lineRule="auto"/>
        <w:ind w:firstLine="420"/>
        <w:jc w:val="left"/>
        <w:rPr>
          <w:rFonts w:ascii="Times New Roman" w:hAnsi="Times New Roman" w:cs="Times New Roman"/>
          <w:color w:val="0D0D0D" w:themeColor="text1" w:themeTint="F2"/>
          <w:szCs w:val="21"/>
          <w14:textFill>
            <w14:solidFill>
              <w14:schemeClr w14:val="tx1">
                <w14:lumMod w14:val="95000"/>
                <w14:lumOff w14:val="5000"/>
              </w14:schemeClr>
            </w14:solidFill>
          </w14:textFill>
        </w:rPr>
      </w:pPr>
      <w:r>
        <w:rPr>
          <w:rFonts w:ascii="Times New Roman" w:hAnsi="Times New Roman" w:cs="Times New Roman"/>
          <w:color w:val="0D0D0D" w:themeColor="text1" w:themeTint="F2"/>
          <w:szCs w:val="21"/>
          <w14:textFill>
            <w14:solidFill>
              <w14:schemeClr w14:val="tx1">
                <w14:lumMod w14:val="95000"/>
                <w14:lumOff w14:val="5000"/>
              </w14:schemeClr>
            </w14:solidFill>
          </w14:textFill>
        </w:rPr>
        <w:t>ICS *.*</w:t>
      </w:r>
    </w:p>
    <w:p w14:paraId="27BE92D5">
      <w:pPr>
        <w:pStyle w:val="13"/>
        <w:adjustRightInd w:val="0"/>
        <w:snapToGrid w:val="0"/>
        <w:spacing w:before="120" w:after="120" w:line="360" w:lineRule="auto"/>
        <w:ind w:firstLine="420"/>
        <w:rPr>
          <w:rFonts w:ascii="Times New Roman" w:hAnsi="Times New Roman" w:eastAsia="黑体" w:cs="Times New Roman"/>
          <w:b/>
          <w:bCs/>
          <w:color w:val="0D0D0D" w:themeColor="text1" w:themeTint="F2"/>
          <w:szCs w:val="21"/>
          <w14:textFill>
            <w14:solidFill>
              <w14:schemeClr w14:val="tx1">
                <w14:lumMod w14:val="95000"/>
                <w14:lumOff w14:val="5000"/>
              </w14:schemeClr>
            </w14:solidFill>
          </w14:textFill>
        </w:rPr>
      </w:pPr>
      <w:r>
        <w:rPr>
          <w:rFonts w:ascii="Times New Roman" w:hAnsi="Times New Roman" w:cs="Times New Roman"/>
          <w:color w:val="0D0D0D" w:themeColor="text1" w:themeTint="F2"/>
          <w:szCs w:val="21"/>
          <w14:textFill>
            <w14:solidFill>
              <w14:schemeClr w14:val="tx1">
                <w14:lumMod w14:val="95000"/>
                <w14:lumOff w14:val="5000"/>
              </w14:schemeClr>
            </w14:solidFill>
          </w14:textFill>
        </w:rPr>
        <w:t>*</w:t>
      </w:r>
    </w:p>
    <w:p w14:paraId="5513C793">
      <w:pPr>
        <w:adjustRightInd w:val="0"/>
        <w:spacing w:before="120" w:after="120"/>
        <w:ind w:firstLine="1680"/>
        <w:jc w:val="center"/>
        <w:rPr>
          <w:rFonts w:eastAsia="黑体"/>
          <w:b/>
          <w:color w:val="0D0D0D" w:themeColor="text1" w:themeTint="F2"/>
          <w:kern w:val="0"/>
          <w:sz w:val="72"/>
          <w:szCs w:val="72"/>
          <w14:textFill>
            <w14:solidFill>
              <w14:schemeClr w14:val="tx1">
                <w14:lumMod w14:val="95000"/>
                <w14:lumOff w14:val="5000"/>
              </w14:schemeClr>
            </w14:solidFill>
          </w14:textFill>
        </w:rPr>
      </w:pPr>
      <w:r>
        <w:rPr>
          <w:rFonts w:eastAsia="黑体"/>
          <w:bCs/>
          <w:color w:val="0D0D0D" w:themeColor="text1" w:themeTint="F2"/>
          <w:kern w:val="0"/>
          <w:sz w:val="84"/>
          <w:szCs w:val="84"/>
          <w14:textFill>
            <w14:solidFill>
              <w14:schemeClr w14:val="tx1">
                <w14:lumMod w14:val="95000"/>
                <w14:lumOff w14:val="5000"/>
              </w14:schemeClr>
            </w14:solidFill>
          </w14:textFill>
        </w:rPr>
        <w:t>团   体  标  准</w:t>
      </w:r>
    </w:p>
    <w:p w14:paraId="72DC3634">
      <w:pPr>
        <w:adjustRightInd w:val="0"/>
        <w:snapToGrid w:val="0"/>
        <w:spacing w:before="120" w:after="120" w:line="360" w:lineRule="auto"/>
        <w:ind w:firstLine="643"/>
        <w:jc w:val="right"/>
        <w:rPr>
          <w:rFonts w:eastAsia="仿宋"/>
          <w:b/>
          <w:bCs/>
          <w:color w:val="0D0D0D" w:themeColor="text1" w:themeTint="F2"/>
          <w:sz w:val="32"/>
          <w:szCs w:val="32"/>
          <w14:textFill>
            <w14:solidFill>
              <w14:schemeClr w14:val="tx1">
                <w14:lumMod w14:val="95000"/>
                <w14:lumOff w14:val="5000"/>
              </w14:schemeClr>
            </w14:solidFill>
          </w14:textFill>
        </w:rPr>
      </w:pPr>
      <w:r>
        <w:rPr>
          <w:rFonts w:eastAsia="仿宋"/>
          <w:b/>
          <w:bCs/>
          <w:color w:val="0D0D0D" w:themeColor="text1" w:themeTint="F2"/>
          <w:sz w:val="32"/>
          <w:szCs w:val="32"/>
          <w14:textFill>
            <w14:solidFill>
              <w14:schemeClr w14:val="tx1">
                <w14:lumMod w14:val="95000"/>
                <w14:lumOff w14:val="5000"/>
              </w14:schemeClr>
            </w14:solidFill>
          </w14:textFill>
        </w:rPr>
        <w:t xml:space="preserve">                            </w:t>
      </w:r>
      <w:r>
        <w:rPr>
          <w:rFonts w:eastAsia="仿宋"/>
          <w:b/>
          <w:bCs/>
          <w:color w:val="0D0D0D" w:themeColor="text1" w:themeTint="F2"/>
          <w:szCs w:val="21"/>
          <w14:textFill>
            <w14:solidFill>
              <w14:schemeClr w14:val="tx1">
                <w14:lumMod w14:val="95000"/>
                <w14:lumOff w14:val="5000"/>
              </w14:schemeClr>
            </w14:solidFill>
          </w14:textFill>
        </w:rPr>
        <w:t xml:space="preserve">  </w:t>
      </w:r>
      <w:r>
        <w:rPr>
          <w:b/>
          <w:color w:val="0D0D0D" w:themeColor="text1" w:themeTint="F2"/>
          <w:szCs w:val="21"/>
          <w14:textFill>
            <w14:solidFill>
              <w14:schemeClr w14:val="tx1">
                <w14:lumMod w14:val="95000"/>
                <w14:lumOff w14:val="5000"/>
              </w14:schemeClr>
            </w14:solidFill>
          </w14:textFill>
        </w:rPr>
        <w:t>T/CHINCOLD ***—20</w:t>
      </w:r>
      <w:r>
        <w:rPr>
          <w:b/>
          <w:color w:val="0D0D0D" w:themeColor="text1" w:themeTint="F2"/>
          <w:spacing w:val="10"/>
          <w:szCs w:val="21"/>
          <w14:textFill>
            <w14:solidFill>
              <w14:schemeClr w14:val="tx1">
                <w14:lumMod w14:val="95000"/>
                <w14:lumOff w14:val="5000"/>
              </w14:schemeClr>
            </w14:solidFill>
          </w14:textFill>
        </w:rPr>
        <w:t>2</w:t>
      </w:r>
      <w:r>
        <w:rPr>
          <w:rFonts w:hint="eastAsia"/>
          <w:b/>
          <w:color w:val="0D0D0D" w:themeColor="text1" w:themeTint="F2"/>
          <w:spacing w:val="10"/>
          <w:szCs w:val="21"/>
          <w14:textFill>
            <w14:solidFill>
              <w14:schemeClr w14:val="tx1">
                <w14:lumMod w14:val="95000"/>
                <w14:lumOff w14:val="5000"/>
              </w14:schemeClr>
            </w14:solidFill>
          </w14:textFill>
        </w:rPr>
        <w:t>5</w:t>
      </w:r>
    </w:p>
    <w:p w14:paraId="05186700">
      <w:pPr>
        <w:adjustRightInd w:val="0"/>
        <w:snapToGrid w:val="0"/>
        <w:spacing w:before="120" w:after="120" w:line="360" w:lineRule="auto"/>
        <w:ind w:firstLine="422"/>
        <w:jc w:val="center"/>
        <w:rPr>
          <w:b/>
          <w:bCs/>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563870" cy="0"/>
                <wp:effectExtent l="17780" t="13970" r="9525" b="1460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563870" cy="0"/>
                        </a:xfrm>
                        <a:prstGeom prst="line">
                          <a:avLst/>
                        </a:prstGeom>
                        <a:noFill/>
                        <a:ln w="19050" cmpd="sng">
                          <a:solidFill>
                            <a:srgbClr val="000000"/>
                          </a:solidFill>
                          <a:round/>
                        </a:ln>
                      </wps:spPr>
                      <wps:bodyPr/>
                    </wps:wsp>
                  </a:graphicData>
                </a:graphic>
              </wp:anchor>
            </w:drawing>
          </mc:Choice>
          <mc:Fallback>
            <w:pict>
              <v:line id="_x0000_s1026" o:spid="_x0000_s1026" o:spt="20" style="position:absolute;left:0pt;margin-left:0pt;margin-top:0pt;height:0pt;width:438.1pt;z-index:251659264;mso-width-relative:page;mso-height-relative:page;" filled="f" stroked="t" coordsize="21600,21600" o:gfxdata="UEsDBAoAAAAAAIdO4kAAAAAAAAAAAAAAAAAEAAAAZHJzL1BLAwQUAAAACACHTuJATBjvU9EAAAAC&#10;AQAADwAAAGRycy9kb3ducmV2LnhtbE2PwU7DMAyG70i8Q2QkbizdBKMrTScxictulAk4eo3XVjRO&#10;1WTd+vZ4XNjF0q/f+vw5X59dp0YaQuvZwHyWgCKuvG25NrD7eHtIQYWIbLHzTAYmCrAubm9yzKw/&#10;8TuNZayVQDhkaKCJsc+0DlVDDsPM98TSHfzgMEocam0HPAncdXqRJEvtsGW50GBPm4aqn/LohPL0&#10;lb5uMd1NU1d+rx43n9uRnTH3d/PkBVSkc/xfhou+qEMhTnt/ZBtUZ0AeiX9TuvR5uQC1v0Rd5Ppa&#10;vfgFUEsDBBQAAAAIAIdO4kAOt76L6wEAALYDAAAOAAAAZHJzL2Uyb0RvYy54bWytU81uEzEQviPx&#10;DpbvZDdFKWWVTQ+JyqVApJYHcLzeXQvbY3mcbPISvAASNzhx5N63oTwGY+eHUi49sAfL9sx8833f&#10;eKeXW2vYRgXU4Go+HpWcKSeh0a6r+YfbqxcXnGEUrhEGnKr5TiG/nD1/Nh18pc6gB9OowAjEYTX4&#10;mvcx+qooUPbKChyBV46CLQQrIh1DVzRBDIRuTXFWlufFAKHxAaRCpNvFPsgPiOEpgNC2WqoFyLVV&#10;Lu5RgzIikiTstUc+y2zbVsn4vm1RRWZqTkpjXqkJ7VdpLWZTUXVB+F7LAwXxFAqPNFmhHTU9QS1E&#10;FGwd9D9QVssACG0cSbDFXkh2hFSMy0fe3PTCq6yFrEZ/Mh3/H6x8t1kGppuaTzhzwtLA7z//+Pnp&#10;66+7L7Tef//GJsmkwWNFuXO3DEmm3Lobfw3yIzIH8164TmWytztPCONUUfxVkg7oqdVqeAsN5Yh1&#10;hOzYtg02QZIXbJsHszsNRm0jk3Q5mZy/vHhFM5PHWCGqY6EPGN8osCxtam60S56JSmyuMSYiojqm&#10;pGsHV9qYPHfj2EBsX5eTBG09uYCuy8UIRjcpMZVg6FZzE9hGpFeUv6yQIg/TAqxds29o3MGApHnv&#10;3gqa3TIcjaFxZmaHp5fey8Nzrv7zu81+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wY71PRAAAA&#10;AgEAAA8AAAAAAAAAAQAgAAAAIgAAAGRycy9kb3ducmV2LnhtbFBLAQIUABQAAAAIAIdO4kAOt76L&#10;6wEAALYDAAAOAAAAAAAAAAEAIAAAACABAABkcnMvZTJvRG9jLnhtbFBLBQYAAAAABgAGAFkBAAB9&#10;BQAAAAA=&#10;">
                <v:fill on="f" focussize="0,0"/>
                <v:stroke weight="1.5pt" color="#000000" joinstyle="round"/>
                <v:imagedata o:title=""/>
                <o:lock v:ext="edit" aspectratio="f"/>
              </v:line>
            </w:pict>
          </mc:Fallback>
        </mc:AlternateContent>
      </w:r>
    </w:p>
    <w:p w14:paraId="14341317">
      <w:pPr>
        <w:pStyle w:val="13"/>
        <w:adjustRightInd w:val="0"/>
        <w:snapToGrid w:val="0"/>
        <w:spacing w:before="120" w:after="120" w:line="360" w:lineRule="auto"/>
        <w:ind w:firstLine="420"/>
        <w:jc w:val="center"/>
        <w:rPr>
          <w:rFonts w:ascii="Times New Roman" w:hAnsi="Times New Roman" w:eastAsia="小标宋" w:cs="Times New Roman"/>
          <w:b/>
          <w:bCs/>
          <w:color w:val="0D0D0D" w:themeColor="text1" w:themeTint="F2"/>
          <w:szCs w:val="21"/>
          <w14:textFill>
            <w14:solidFill>
              <w14:schemeClr w14:val="tx1">
                <w14:lumMod w14:val="95000"/>
                <w14:lumOff w14:val="5000"/>
              </w14:schemeClr>
            </w14:solidFill>
          </w14:textFill>
        </w:rPr>
      </w:pPr>
    </w:p>
    <w:p w14:paraId="466C0A18">
      <w:pPr>
        <w:spacing w:before="156" w:after="156"/>
        <w:ind w:firstLine="600"/>
        <w:rPr>
          <w:color w:val="0D0D0D" w:themeColor="text1" w:themeTint="F2"/>
          <w:sz w:val="30"/>
          <w:szCs w:val="30"/>
          <w14:textFill>
            <w14:solidFill>
              <w14:schemeClr w14:val="tx1">
                <w14:lumMod w14:val="95000"/>
                <w14:lumOff w14:val="5000"/>
              </w14:schemeClr>
            </w14:solidFill>
          </w14:textFill>
        </w:rPr>
      </w:pPr>
    </w:p>
    <w:p w14:paraId="39CC1143">
      <w:pPr>
        <w:spacing w:before="156" w:after="156"/>
        <w:ind w:firstLine="803"/>
        <w:jc w:val="center"/>
        <w:rPr>
          <w:b/>
          <w:color w:val="0D0D0D" w:themeColor="text1" w:themeTint="F2"/>
          <w:sz w:val="40"/>
          <w:szCs w:val="30"/>
          <w14:textFill>
            <w14:solidFill>
              <w14:schemeClr w14:val="tx1">
                <w14:lumMod w14:val="95000"/>
                <w14:lumOff w14:val="5000"/>
              </w14:schemeClr>
            </w14:solidFill>
          </w14:textFill>
        </w:rPr>
      </w:pPr>
      <w:r>
        <w:rPr>
          <w:b/>
          <w:color w:val="0D0D0D" w:themeColor="text1" w:themeTint="F2"/>
          <w:sz w:val="40"/>
          <w:szCs w:val="30"/>
          <w14:textFill>
            <w14:solidFill>
              <w14:schemeClr w14:val="tx1">
                <w14:lumMod w14:val="95000"/>
                <w14:lumOff w14:val="5000"/>
              </w14:schemeClr>
            </w14:solidFill>
          </w14:textFill>
        </w:rPr>
        <w:t>胶结砂砾石配合比设计规程</w:t>
      </w:r>
    </w:p>
    <w:p w14:paraId="64BF094F">
      <w:pPr>
        <w:spacing w:before="156" w:after="156"/>
        <w:ind w:firstLine="803"/>
        <w:jc w:val="center"/>
        <w:rPr>
          <w:rFonts w:eastAsia="黑体"/>
          <w:b/>
          <w:color w:val="0D0D0D" w:themeColor="text1" w:themeTint="F2"/>
          <w:spacing w:val="20"/>
          <w:sz w:val="40"/>
          <w:szCs w:val="30"/>
          <w14:textFill>
            <w14:solidFill>
              <w14:schemeClr w14:val="tx1">
                <w14:lumMod w14:val="95000"/>
                <w14:lumOff w14:val="5000"/>
              </w14:schemeClr>
            </w14:solidFill>
          </w14:textFill>
        </w:rPr>
      </w:pPr>
      <w:r>
        <w:rPr>
          <w:rFonts w:hint="eastAsia"/>
          <w:b/>
          <w:color w:val="0D0D0D" w:themeColor="text1" w:themeTint="F2"/>
          <w:sz w:val="40"/>
          <w:szCs w:val="30"/>
          <w14:textFill>
            <w14:solidFill>
              <w14:schemeClr w14:val="tx1">
                <w14:lumMod w14:val="95000"/>
                <w14:lumOff w14:val="5000"/>
              </w14:schemeClr>
            </w14:solidFill>
          </w14:textFill>
        </w:rPr>
        <w:t>Specifications</w:t>
      </w:r>
      <w:r>
        <w:rPr>
          <w:b/>
          <w:color w:val="0D0D0D" w:themeColor="text1" w:themeTint="F2"/>
          <w:sz w:val="40"/>
          <w:szCs w:val="30"/>
          <w14:textFill>
            <w14:solidFill>
              <w14:schemeClr w14:val="tx1">
                <w14:lumMod w14:val="95000"/>
                <w14:lumOff w14:val="5000"/>
              </w14:schemeClr>
            </w14:solidFill>
          </w14:textFill>
        </w:rPr>
        <w:t xml:space="preserve"> for </w:t>
      </w:r>
      <w:r>
        <w:rPr>
          <w:rFonts w:hint="eastAsia"/>
          <w:b/>
          <w:color w:val="0D0D0D" w:themeColor="text1" w:themeTint="F2"/>
          <w:sz w:val="40"/>
          <w:szCs w:val="30"/>
          <w14:textFill>
            <w14:solidFill>
              <w14:schemeClr w14:val="tx1">
                <w14:lumMod w14:val="95000"/>
                <w14:lumOff w14:val="5000"/>
              </w14:schemeClr>
            </w14:solidFill>
          </w14:textFill>
        </w:rPr>
        <w:t xml:space="preserve">mix proportion </w:t>
      </w:r>
      <w:r>
        <w:rPr>
          <w:b/>
          <w:color w:val="0D0D0D" w:themeColor="text1" w:themeTint="F2"/>
          <w:sz w:val="40"/>
          <w:szCs w:val="30"/>
          <w14:textFill>
            <w14:solidFill>
              <w14:schemeClr w14:val="tx1">
                <w14:lumMod w14:val="95000"/>
                <w14:lumOff w14:val="5000"/>
              </w14:schemeClr>
            </w14:solidFill>
          </w14:textFill>
        </w:rPr>
        <w:t>design of cemented sand gravel and rock</w:t>
      </w:r>
    </w:p>
    <w:p w14:paraId="0FD510F7">
      <w:pPr>
        <w:spacing w:before="156" w:after="156"/>
        <w:ind w:firstLine="640"/>
        <w:jc w:val="center"/>
        <w:rPr>
          <w:bCs/>
          <w:color w:val="0D0D0D" w:themeColor="text1" w:themeTint="F2"/>
          <w:sz w:val="32"/>
          <w:szCs w:val="36"/>
          <w14:textFill>
            <w14:solidFill>
              <w14:schemeClr w14:val="tx1">
                <w14:lumMod w14:val="95000"/>
                <w14:lumOff w14:val="5000"/>
              </w14:schemeClr>
            </w14:solidFill>
          </w14:textFill>
        </w:rPr>
      </w:pPr>
      <w:r>
        <w:rPr>
          <w:bCs/>
          <w:color w:val="0D0D0D" w:themeColor="text1" w:themeTint="F2"/>
          <w:sz w:val="32"/>
          <w:szCs w:val="36"/>
          <w14:textFill>
            <w14:solidFill>
              <w14:schemeClr w14:val="tx1">
                <w14:lumMod w14:val="95000"/>
                <w14:lumOff w14:val="5000"/>
              </w14:schemeClr>
            </w14:solidFill>
          </w14:textFill>
        </w:rPr>
        <w:t>（征求意见稿）</w:t>
      </w:r>
    </w:p>
    <w:p w14:paraId="7BF89178">
      <w:pPr>
        <w:spacing w:before="156" w:after="156"/>
        <w:ind w:firstLine="640"/>
        <w:jc w:val="center"/>
        <w:rPr>
          <w:bCs/>
          <w:color w:val="0D0D0D" w:themeColor="text1" w:themeTint="F2"/>
          <w:sz w:val="32"/>
          <w:szCs w:val="36"/>
          <w14:textFill>
            <w14:solidFill>
              <w14:schemeClr w14:val="tx1">
                <w14:lumMod w14:val="95000"/>
                <w14:lumOff w14:val="5000"/>
              </w14:schemeClr>
            </w14:solidFill>
          </w14:textFill>
        </w:rPr>
      </w:pPr>
    </w:p>
    <w:p w14:paraId="09F19C36">
      <w:pPr>
        <w:spacing w:before="156" w:after="156"/>
        <w:ind w:firstLine="640"/>
        <w:jc w:val="center"/>
        <w:rPr>
          <w:bCs/>
          <w:color w:val="0D0D0D" w:themeColor="text1" w:themeTint="F2"/>
          <w:sz w:val="32"/>
          <w:szCs w:val="36"/>
          <w14:textFill>
            <w14:solidFill>
              <w14:schemeClr w14:val="tx1">
                <w14:lumMod w14:val="95000"/>
                <w14:lumOff w14:val="5000"/>
              </w14:schemeClr>
            </w14:solidFill>
          </w14:textFill>
        </w:rPr>
      </w:pPr>
    </w:p>
    <w:p w14:paraId="15028196">
      <w:pPr>
        <w:spacing w:before="156" w:after="156"/>
        <w:ind w:firstLine="640"/>
        <w:jc w:val="center"/>
        <w:rPr>
          <w:bCs/>
          <w:color w:val="0D0D0D" w:themeColor="text1" w:themeTint="F2"/>
          <w:sz w:val="32"/>
          <w:szCs w:val="36"/>
          <w14:textFill>
            <w14:solidFill>
              <w14:schemeClr w14:val="tx1">
                <w14:lumMod w14:val="95000"/>
                <w14:lumOff w14:val="5000"/>
              </w14:schemeClr>
            </w14:solidFill>
          </w14:textFill>
        </w:rPr>
      </w:pPr>
    </w:p>
    <w:p w14:paraId="1C32134A">
      <w:pPr>
        <w:spacing w:before="156" w:after="156"/>
        <w:ind w:firstLine="640"/>
        <w:jc w:val="center"/>
        <w:rPr>
          <w:bCs/>
          <w:color w:val="0D0D0D" w:themeColor="text1" w:themeTint="F2"/>
          <w:sz w:val="32"/>
          <w:szCs w:val="36"/>
          <w14:textFill>
            <w14:solidFill>
              <w14:schemeClr w14:val="tx1">
                <w14:lumMod w14:val="95000"/>
                <w14:lumOff w14:val="5000"/>
              </w14:schemeClr>
            </w14:solidFill>
          </w14:textFill>
        </w:rPr>
      </w:pPr>
    </w:p>
    <w:p w14:paraId="005F0F58">
      <w:pPr>
        <w:spacing w:before="120" w:after="120"/>
        <w:ind w:firstLine="640"/>
        <w:jc w:val="center"/>
        <w:rPr>
          <w:bCs/>
          <w:color w:val="0D0D0D" w:themeColor="text1" w:themeTint="F2"/>
          <w:sz w:val="32"/>
          <w:szCs w:val="36"/>
          <w14:textFill>
            <w14:solidFill>
              <w14:schemeClr w14:val="tx1">
                <w14:lumMod w14:val="95000"/>
                <w14:lumOff w14:val="5000"/>
              </w14:schemeClr>
            </w14:solidFill>
          </w14:textFill>
        </w:rPr>
      </w:pPr>
    </w:p>
    <w:p w14:paraId="59DC5C96">
      <w:pPr>
        <w:spacing w:before="120" w:after="120" w:line="600" w:lineRule="exact"/>
        <w:ind w:firstLine="525" w:firstLineChars="250"/>
        <w:rPr>
          <w:rFonts w:eastAsia="黑体"/>
          <w:b/>
          <w:color w:val="0D0D0D" w:themeColor="text1" w:themeTint="F2"/>
          <w:kern w:val="0"/>
          <w:sz w:val="22"/>
          <w:szCs w:val="21"/>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mc:AlternateContent>
          <mc:Choice Requires="wps">
            <w:drawing>
              <wp:anchor distT="0" distB="0" distL="114300" distR="114300" simplePos="0" relativeHeight="251660288" behindDoc="0" locked="0" layoutInCell="1" allowOverlap="1">
                <wp:simplePos x="0" y="0"/>
                <wp:positionH relativeFrom="column">
                  <wp:posOffset>354330</wp:posOffset>
                </wp:positionH>
                <wp:positionV relativeFrom="paragraph">
                  <wp:posOffset>434340</wp:posOffset>
                </wp:positionV>
                <wp:extent cx="4610100" cy="0"/>
                <wp:effectExtent l="0" t="0" r="19050" b="1905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4610100" cy="0"/>
                        </a:xfrm>
                        <a:prstGeom prst="line">
                          <a:avLst/>
                        </a:prstGeom>
                        <a:noFill/>
                        <a:ln w="19050">
                          <a:solidFill>
                            <a:srgbClr val="000000"/>
                          </a:solidFill>
                          <a:round/>
                        </a:ln>
                      </wps:spPr>
                      <wps:bodyPr/>
                    </wps:wsp>
                  </a:graphicData>
                </a:graphic>
              </wp:anchor>
            </w:drawing>
          </mc:Choice>
          <mc:Fallback>
            <w:pict>
              <v:line id="_x0000_s1026" o:spid="_x0000_s1026" o:spt="20" style="position:absolute;left:0pt;margin-left:27.9pt;margin-top:34.2pt;height:0pt;width:363pt;z-index:251660288;mso-width-relative:page;mso-height-relative:page;" filled="f" stroked="t" coordsize="21600,21600" o:gfxdata="UEsDBAoAAAAAAIdO4kAAAAAAAAAAAAAAAAAEAAAAZHJzL1BLAwQUAAAACACHTuJAmDYzAtQAAAAI&#10;AQAADwAAAGRycy9kb3ducmV2LnhtbE2PwU7DMAyG70i8Q2QkbiwtWkdWmk5iEpfdKBNwzBqvrWic&#10;qsm69e0x4sCO/n/r8+dic3G9mHAMnScN6SIBgVR721GjYf/++qBAhGjImt4TapgxwKa8vSlMbv2Z&#10;3nCqYiMYQiE3GtoYh1zKULfoTFj4AYm7ox+diTyOjbSjOTPc9fIxSVbSmY74QmsG3LZYf1cnx5Ts&#10;U73sjNrPc199rZfbj91ETuv7uzR5BhHxEv+X4Vef1aFkp4M/kQ2i15BlbB41rNQSBPdPKuXg8BfI&#10;spDXD5Q/UEsDBBQAAAAIAIdO4kBIT9t+4wEAAK0DAAAOAAAAZHJzL2Uyb0RvYy54bWytU8GO0zAQ&#10;vSPxD5bvNGkFK4ia7qHVclmg0i4f4DpOY2F7LI/bpD/BDyBxgxNH7vwNy2cwdtrCLpc9kINlz7x5&#10;nvfGmV8O1rC9CqjB1Xw6KTlTTkKj3bbm72+vnr3kDKNwjTDgVM0PCvnl4umTee8rNYMOTKMCIxKH&#10;Ve9r3sXoq6JA2SkrcAJeOUq2EKyIdAzbogmiJ3ZrillZXhQ9hMYHkAqRoqsxyY+M4TGE0LZaqhXI&#10;nVUujqxBGRFJEnbaI1/kbttWyfiubVFFZmpOSmNe6RLab9JaLOai2gbhOy2PLYjHtPBAkxXa0aVn&#10;qpWIgu2C/ofKahkAoY0TCbYYhWRHSMW0fODNTSe8ylrIavRn0/H/0cq3+3Vguqn5bMqZE5Ymfvfp&#10;+8+PX379+Ezr3bevjDJkU++xIvTSrUMSKgd3469BfkDmYNkJt1W53duDJ4pcUdwrSQf0dNmmfwMN&#10;YcQuQvZsaINNlOQGG/JoDufRqCEyScHnF1Pyh6YmT7lCVKdCHzC+VmBZ2tTcaJdcE5XYX2Ok1gl6&#10;gqSwgyttTJ68caynbl+VL8pcgWB0k7IJh2G7WZrA9iI9nvwlI4jtHizAzjVj3DhKn4SOlm2gOaxD&#10;Sqc4TTETHF9ceiZ/nzPqz1+2+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NjMC1AAAAAgBAAAP&#10;AAAAAAAAAAEAIAAAACIAAABkcnMvZG93bnJldi54bWxQSwECFAAUAAAACACHTuJASE/bfuMBAACt&#10;AwAADgAAAAAAAAABACAAAAAjAQAAZHJzL2Uyb0RvYy54bWxQSwUGAAAAAAYABgBZAQAAeAUAAAAA&#10;">
                <v:fill on="f" focussize="0,0"/>
                <v:stroke weight="1.5pt" color="#000000" joinstyle="round"/>
                <v:imagedata o:title=""/>
                <o:lock v:ext="edit" aspectratio="f"/>
              </v:line>
            </w:pict>
          </mc:Fallback>
        </mc:AlternateContent>
      </w:r>
      <w:r>
        <w:rPr>
          <w:rFonts w:eastAsia="黑体"/>
          <w:b/>
          <w:color w:val="0D0D0D" w:themeColor="text1" w:themeTint="F2"/>
          <w:kern w:val="0"/>
          <w:sz w:val="22"/>
          <w:szCs w:val="21"/>
          <w14:textFill>
            <w14:solidFill>
              <w14:schemeClr w14:val="tx1">
                <w14:lumMod w14:val="95000"/>
                <w14:lumOff w14:val="5000"/>
              </w14:schemeClr>
            </w14:solidFill>
          </w14:textFill>
        </w:rPr>
        <w:t>202</w:t>
      </w:r>
      <w:r>
        <w:rPr>
          <w:rFonts w:hint="eastAsia" w:eastAsia="黑体"/>
          <w:b/>
          <w:color w:val="0D0D0D" w:themeColor="text1" w:themeTint="F2"/>
          <w:kern w:val="0"/>
          <w:sz w:val="22"/>
          <w:szCs w:val="21"/>
          <w14:textFill>
            <w14:solidFill>
              <w14:schemeClr w14:val="tx1">
                <w14:lumMod w14:val="95000"/>
                <w14:lumOff w14:val="5000"/>
              </w14:schemeClr>
            </w14:solidFill>
          </w14:textFill>
        </w:rPr>
        <w:t>5</w:t>
      </w:r>
      <w:r>
        <w:rPr>
          <w:rFonts w:eastAsia="黑体"/>
          <w:b/>
          <w:color w:val="0D0D0D" w:themeColor="text1" w:themeTint="F2"/>
          <w:kern w:val="0"/>
          <w:sz w:val="22"/>
          <w:szCs w:val="21"/>
          <w14:textFill>
            <w14:solidFill>
              <w14:schemeClr w14:val="tx1">
                <w14:lumMod w14:val="95000"/>
                <w14:lumOff w14:val="5000"/>
              </w14:schemeClr>
            </w14:solidFill>
          </w14:textFill>
        </w:rPr>
        <w:t>-X-X发布                                         202</w:t>
      </w:r>
      <w:r>
        <w:rPr>
          <w:rFonts w:hint="eastAsia" w:eastAsia="黑体"/>
          <w:b/>
          <w:color w:val="0D0D0D" w:themeColor="text1" w:themeTint="F2"/>
          <w:kern w:val="0"/>
          <w:sz w:val="22"/>
          <w:szCs w:val="21"/>
          <w14:textFill>
            <w14:solidFill>
              <w14:schemeClr w14:val="tx1">
                <w14:lumMod w14:val="95000"/>
                <w14:lumOff w14:val="5000"/>
              </w14:schemeClr>
            </w14:solidFill>
          </w14:textFill>
        </w:rPr>
        <w:t>5</w:t>
      </w:r>
      <w:r>
        <w:rPr>
          <w:rFonts w:eastAsia="黑体"/>
          <w:b/>
          <w:color w:val="0D0D0D" w:themeColor="text1" w:themeTint="F2"/>
          <w:kern w:val="0"/>
          <w:sz w:val="22"/>
          <w:szCs w:val="21"/>
          <w14:textFill>
            <w14:solidFill>
              <w14:schemeClr w14:val="tx1">
                <w14:lumMod w14:val="95000"/>
                <w14:lumOff w14:val="5000"/>
              </w14:schemeClr>
            </w14:solidFill>
          </w14:textFill>
        </w:rPr>
        <w:t>-X-X实施</w:t>
      </w:r>
    </w:p>
    <w:p w14:paraId="75D8DA7B">
      <w:pPr>
        <w:spacing w:before="120" w:after="120"/>
        <w:ind w:firstLine="643"/>
        <w:jc w:val="center"/>
        <w:rPr>
          <w:b/>
          <w:bCs/>
          <w:color w:val="0D0D0D" w:themeColor="text1" w:themeTint="F2"/>
          <w:sz w:val="40"/>
          <w:szCs w:val="32"/>
          <w14:textFill>
            <w14:solidFill>
              <w14:schemeClr w14:val="tx1">
                <w14:lumMod w14:val="95000"/>
                <w14:lumOff w14:val="5000"/>
              </w14:schemeClr>
            </w14:solidFill>
          </w14:textFill>
        </w:rPr>
      </w:pPr>
      <w:r>
        <w:rPr>
          <w:b/>
          <w:color w:val="0D0D0D" w:themeColor="text1" w:themeTint="F2"/>
          <w:sz w:val="32"/>
          <w14:textFill>
            <w14:solidFill>
              <w14:schemeClr w14:val="tx1">
                <w14:lumMod w14:val="95000"/>
                <w14:lumOff w14:val="5000"/>
              </w14:schemeClr>
            </w14:solidFill>
          </w14:textFill>
        </w:rPr>
        <w:t>中国大坝工程学会     发布</w:t>
      </w:r>
    </w:p>
    <w:p w14:paraId="08A53F38">
      <w:pPr>
        <w:spacing w:before="156" w:after="156"/>
        <w:ind w:firstLine="360"/>
        <w:jc w:val="center"/>
        <w:rPr>
          <w:b/>
          <w:bCs/>
          <w:color w:val="0D0D0D" w:themeColor="text1" w:themeTint="F2"/>
          <w:sz w:val="40"/>
          <w:szCs w:val="32"/>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br w:type="page"/>
      </w:r>
    </w:p>
    <w:p w14:paraId="4676EB9C">
      <w:pPr>
        <w:widowControl/>
        <w:spacing w:before="156" w:after="156"/>
        <w:ind w:firstLine="643"/>
        <w:jc w:val="center"/>
        <w:rPr>
          <w:color w:val="0D0D0D" w:themeColor="text1" w:themeTint="F2"/>
          <w:sz w:val="24"/>
          <w:szCs w:val="24"/>
          <w14:textFill>
            <w14:solidFill>
              <w14:schemeClr w14:val="tx1">
                <w14:lumMod w14:val="95000"/>
                <w14:lumOff w14:val="5000"/>
              </w14:schemeClr>
            </w14:solidFill>
          </w14:textFill>
        </w:rPr>
      </w:pPr>
      <w:r>
        <w:rPr>
          <w:rFonts w:eastAsia="仿宋_GB2312"/>
          <w:b/>
          <w:color w:val="0D0D0D" w:themeColor="text1" w:themeTint="F2"/>
          <w:sz w:val="32"/>
          <w:szCs w:val="32"/>
          <w14:textFill>
            <w14:solidFill>
              <w14:schemeClr w14:val="tx1">
                <w14:lumMod w14:val="95000"/>
                <w14:lumOff w14:val="5000"/>
              </w14:schemeClr>
            </w14:solidFill>
          </w14:textFill>
        </w:rPr>
        <w:t>前     言</w:t>
      </w:r>
    </w:p>
    <w:p w14:paraId="5B399636">
      <w:pPr>
        <w:spacing w:before="156" w:after="156"/>
        <w:ind w:firstLine="480"/>
        <w:rPr>
          <w:color w:val="0D0D0D" w:themeColor="text1" w:themeTint="F2"/>
          <w:sz w:val="24"/>
          <w:szCs w:val="21"/>
          <w14:textFill>
            <w14:solidFill>
              <w14:schemeClr w14:val="tx1">
                <w14:lumMod w14:val="95000"/>
                <w14:lumOff w14:val="5000"/>
              </w14:schemeClr>
            </w14:solidFill>
          </w14:textFill>
        </w:rPr>
      </w:pPr>
    </w:p>
    <w:p w14:paraId="4B448DF4">
      <w:pPr>
        <w:spacing w:before="156" w:after="156"/>
        <w:ind w:firstLine="420"/>
        <w:rPr>
          <w:bCs/>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根据中国大坝工程学会团体标准编制修订工作安排，依据《水利技术标准编写规定》（SL1—2014）制定。</w:t>
      </w:r>
    </w:p>
    <w:p w14:paraId="2006988B">
      <w:pPr>
        <w:spacing w:before="156" w:after="156"/>
        <w:ind w:firstLine="420"/>
        <w:rPr>
          <w:bCs/>
          <w:color w:val="0D0D0D" w:themeColor="text1" w:themeTint="F2"/>
          <w14:textFill>
            <w14:solidFill>
              <w14:schemeClr w14:val="tx1">
                <w14:lumMod w14:val="95000"/>
                <w14:lumOff w14:val="5000"/>
              </w14:schemeClr>
            </w14:solidFill>
          </w14:textFill>
        </w:rPr>
      </w:pPr>
      <w:r>
        <w:rPr>
          <w:bCs/>
          <w:color w:val="0D0D0D" w:themeColor="text1" w:themeTint="F2"/>
          <w14:textFill>
            <w14:solidFill>
              <w14:schemeClr w14:val="tx1">
                <w14:lumMod w14:val="95000"/>
                <w14:lumOff w14:val="5000"/>
              </w14:schemeClr>
            </w14:solidFill>
          </w14:textFill>
        </w:rPr>
        <w:t>本规程共6章，主要技术内容包括：总则、</w:t>
      </w:r>
      <w:r>
        <w:rPr>
          <w:rFonts w:hint="eastAsia"/>
          <w:bCs/>
          <w:color w:val="0D0D0D" w:themeColor="text1" w:themeTint="F2"/>
          <w14:textFill>
            <w14:solidFill>
              <w14:schemeClr w14:val="tx1">
                <w14:lumMod w14:val="95000"/>
                <w14:lumOff w14:val="5000"/>
              </w14:schemeClr>
            </w14:solidFill>
          </w14:textFill>
        </w:rPr>
        <w:t>符号、基本规定、</w:t>
      </w:r>
      <w:r>
        <w:rPr>
          <w:bCs/>
          <w:color w:val="0D0D0D" w:themeColor="text1" w:themeTint="F2"/>
          <w14:textFill>
            <w14:solidFill>
              <w14:schemeClr w14:val="tx1">
                <w14:lumMod w14:val="95000"/>
                <w14:lumOff w14:val="5000"/>
              </w14:schemeClr>
            </w14:solidFill>
          </w14:textFill>
        </w:rPr>
        <w:t>配制强度的确定、配合比的计算、配合比的试配、调整和确定等。</w:t>
      </w:r>
    </w:p>
    <w:p w14:paraId="3816CA3D">
      <w:pPr>
        <w:pStyle w:val="44"/>
        <w:spacing w:line="360" w:lineRule="auto"/>
        <w:rPr>
          <w:rFonts w:cs="Times New Roman"/>
          <w:color w:val="0D0D0D" w:themeColor="text1" w:themeTint="F2"/>
          <w14:textFill>
            <w14:solidFill>
              <w14:schemeClr w14:val="tx1">
                <w14:lumMod w14:val="95000"/>
                <w14:lumOff w14:val="5000"/>
              </w14:schemeClr>
            </w14:solidFill>
          </w14:textFill>
        </w:rPr>
      </w:pPr>
      <w:r>
        <w:rPr>
          <w:rFonts w:cs="Times New Roman"/>
          <w:color w:val="0D0D0D" w:themeColor="text1" w:themeTint="F2"/>
          <w14:textFill>
            <w14:solidFill>
              <w14:schemeClr w14:val="tx1">
                <w14:lumMod w14:val="95000"/>
                <w14:lumOff w14:val="5000"/>
              </w14:schemeClr>
            </w14:solidFill>
          </w14:textFill>
        </w:rPr>
        <w:t>请注意本规程的某些内容可能涉及专利等知识产权，本规程的发布机构不承担识别这些知识产权的责任。</w:t>
      </w:r>
    </w:p>
    <w:p w14:paraId="5D595369">
      <w:pPr>
        <w:pStyle w:val="44"/>
        <w:spacing w:line="360" w:lineRule="auto"/>
        <w:rPr>
          <w:rFonts w:cs="Times New Roman"/>
          <w:color w:val="0D0D0D" w:themeColor="text1" w:themeTint="F2"/>
          <w14:textFill>
            <w14:solidFill>
              <w14:schemeClr w14:val="tx1">
                <w14:lumMod w14:val="95000"/>
                <w14:lumOff w14:val="5000"/>
              </w14:schemeClr>
            </w14:solidFill>
          </w14:textFill>
        </w:rPr>
      </w:pPr>
      <w:r>
        <w:rPr>
          <w:rFonts w:cs="Times New Roman"/>
          <w:color w:val="0D0D0D" w:themeColor="text1" w:themeTint="F2"/>
          <w14:textFill>
            <w14:solidFill>
              <w14:schemeClr w14:val="tx1">
                <w14:lumMod w14:val="95000"/>
                <w14:lumOff w14:val="5000"/>
              </w14:schemeClr>
            </w14:solidFill>
          </w14:textFill>
        </w:rPr>
        <w:t>本规程为推荐性标准，由中国水利水电科学研究院提出，由中国大坝工程学会归口。</w:t>
      </w:r>
    </w:p>
    <w:p w14:paraId="09B9E87A">
      <w:pPr>
        <w:spacing w:before="156" w:after="156"/>
        <w:ind w:firstLine="420"/>
        <w:rPr>
          <w:rFonts w:eastAsia="黑体"/>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本规程主编单位：中国水利水电科学研究院</w:t>
      </w:r>
    </w:p>
    <w:p w14:paraId="287DECCD">
      <w:pPr>
        <w:spacing w:before="156" w:after="156"/>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本规程参编单位：</w:t>
      </w:r>
    </w:p>
    <w:p w14:paraId="528BC8D9">
      <w:pPr>
        <w:spacing w:before="156" w:after="156"/>
        <w:ind w:firstLine="420"/>
        <w:rPr>
          <w:color w:val="0D0D0D" w:themeColor="text1" w:themeTint="F2"/>
          <w:szCs w:val="21"/>
          <w14:textFill>
            <w14:solidFill>
              <w14:schemeClr w14:val="tx1">
                <w14:lumMod w14:val="95000"/>
                <w14:lumOff w14:val="5000"/>
              </w14:schemeClr>
            </w14:solidFill>
          </w14:textFill>
        </w:rPr>
      </w:pP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 xml:space="preserve">               </w:t>
      </w:r>
    </w:p>
    <w:p w14:paraId="69869DDB">
      <w:pPr>
        <w:spacing w:before="156" w:after="156"/>
        <w:ind w:firstLine="420"/>
        <w:rPr>
          <w:color w:val="0D0D0D" w:themeColor="text1" w:themeTint="F2"/>
          <w:szCs w:val="21"/>
          <w14:textFill>
            <w14:solidFill>
              <w14:schemeClr w14:val="tx1">
                <w14:lumMod w14:val="95000"/>
                <w14:lumOff w14:val="5000"/>
              </w14:schemeClr>
            </w14:solidFill>
          </w14:textFill>
        </w:rPr>
      </w:pP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 xml:space="preserve">               </w:t>
      </w:r>
    </w:p>
    <w:p w14:paraId="633A66EF">
      <w:pPr>
        <w:spacing w:before="156" w:after="156"/>
        <w:ind w:firstLine="420"/>
        <w:rPr>
          <w:color w:val="0D0D0D" w:themeColor="text1" w:themeTint="F2"/>
          <w:szCs w:val="21"/>
          <w14:textFill>
            <w14:solidFill>
              <w14:schemeClr w14:val="tx1">
                <w14:lumMod w14:val="95000"/>
                <w14:lumOff w14:val="5000"/>
              </w14:schemeClr>
            </w14:solidFill>
          </w14:textFill>
        </w:rPr>
      </w:pPr>
    </w:p>
    <w:p w14:paraId="01F22E3F">
      <w:pPr>
        <w:spacing w:before="156" w:after="156"/>
        <w:ind w:firstLine="420"/>
        <w:rPr>
          <w:rFonts w:eastAsia="黑体"/>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本规程解释单位：中国水利水电科学研究院</w:t>
      </w:r>
    </w:p>
    <w:p w14:paraId="42E4DC16">
      <w:pPr>
        <w:spacing w:before="156" w:after="156"/>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本规程出版、发行单位：</w:t>
      </w:r>
      <w:r>
        <w:rPr>
          <w:rFonts w:eastAsia="黑体"/>
          <w:color w:val="0D0D0D" w:themeColor="text1" w:themeTint="F2"/>
          <w:szCs w:val="21"/>
          <w14:textFill>
            <w14:solidFill>
              <w14:schemeClr w14:val="tx1">
                <w14:lumMod w14:val="95000"/>
                <w14:lumOff w14:val="5000"/>
              </w14:schemeClr>
            </w14:solidFill>
          </w14:textFill>
        </w:rPr>
        <w:t>中国水利水电出版社</w:t>
      </w:r>
    </w:p>
    <w:p w14:paraId="60DC107C">
      <w:pPr>
        <w:spacing w:before="156" w:after="156"/>
        <w:ind w:left="2520" w:leftChars="200" w:hanging="2100" w:hangingChars="100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本规程主要起草人：</w:t>
      </w:r>
    </w:p>
    <w:p w14:paraId="1532D461">
      <w:pPr>
        <w:pStyle w:val="44"/>
        <w:spacing w:line="360" w:lineRule="auto"/>
        <w:rPr>
          <w:rFonts w:cs="Times New Roman"/>
          <w:color w:val="0D0D0D" w:themeColor="text1" w:themeTint="F2"/>
          <w14:textFill>
            <w14:solidFill>
              <w14:schemeClr w14:val="tx1">
                <w14:lumMod w14:val="95000"/>
                <w14:lumOff w14:val="5000"/>
              </w14:schemeClr>
            </w14:solidFill>
          </w14:textFill>
        </w:rPr>
      </w:pPr>
    </w:p>
    <w:p w14:paraId="5A0A55B1">
      <w:pPr>
        <w:spacing w:before="156" w:after="156"/>
        <w:ind w:left="2730" w:leftChars="200" w:hanging="2310" w:hangingChars="110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本规程技术内容审查人：</w:t>
      </w:r>
    </w:p>
    <w:p w14:paraId="123548F2">
      <w:pPr>
        <w:spacing w:before="156" w:after="156"/>
        <w:ind w:firstLine="0" w:firstLineChars="0"/>
        <w:rPr>
          <w:color w:val="0D0D0D" w:themeColor="text1" w:themeTint="F2"/>
          <w:szCs w:val="21"/>
          <w14:textFill>
            <w14:solidFill>
              <w14:schemeClr w14:val="tx1">
                <w14:lumMod w14:val="95000"/>
                <w14:lumOff w14:val="5000"/>
              </w14:schemeClr>
            </w14:solidFill>
          </w14:textFill>
        </w:rPr>
      </w:pPr>
    </w:p>
    <w:p w14:paraId="035236E9">
      <w:pPr>
        <w:spacing w:before="156" w:after="156"/>
        <w:ind w:firstLine="424" w:firstLineChars="202"/>
        <w:rPr>
          <w:color w:val="0D0D0D" w:themeColor="text1" w:themeTint="F2"/>
          <w:szCs w:val="21"/>
          <w14:textFill>
            <w14:solidFill>
              <w14:schemeClr w14:val="tx1">
                <w14:lumMod w14:val="95000"/>
                <w14:lumOff w14:val="5000"/>
              </w14:schemeClr>
            </w14:solidFill>
          </w14:textFill>
        </w:rPr>
      </w:pPr>
      <w:r>
        <w:rPr>
          <w:rFonts w:hint="eastAsia"/>
          <w:color w:val="0D0D0D" w:themeColor="text1" w:themeTint="F2"/>
          <w:szCs w:val="21"/>
          <w14:textFill>
            <w14:solidFill>
              <w14:schemeClr w14:val="tx1">
                <w14:lumMod w14:val="95000"/>
                <w14:lumOff w14:val="5000"/>
              </w14:schemeClr>
            </w14:solidFill>
          </w14:textFill>
        </w:rPr>
        <w:t>请各单位</w:t>
      </w:r>
      <w:r>
        <w:rPr>
          <w:color w:val="0D0D0D" w:themeColor="text1" w:themeTint="F2"/>
          <w:szCs w:val="21"/>
          <w14:textFill>
            <w14:solidFill>
              <w14:schemeClr w14:val="tx1">
                <w14:lumMod w14:val="95000"/>
                <w14:lumOff w14:val="5000"/>
              </w14:schemeClr>
            </w14:solidFill>
          </w14:textFill>
        </w:rPr>
        <w:t>在执行</w:t>
      </w:r>
      <w:r>
        <w:rPr>
          <w:rFonts w:hint="eastAsia"/>
          <w:color w:val="0D0D0D" w:themeColor="text1" w:themeTint="F2"/>
          <w:szCs w:val="21"/>
          <w14:textFill>
            <w14:solidFill>
              <w14:schemeClr w14:val="tx1">
                <w14:lumMod w14:val="95000"/>
                <w14:lumOff w14:val="5000"/>
              </w14:schemeClr>
            </w14:solidFill>
          </w14:textFill>
        </w:rPr>
        <w:t>本规程</w:t>
      </w:r>
      <w:r>
        <w:rPr>
          <w:color w:val="0D0D0D" w:themeColor="text1" w:themeTint="F2"/>
          <w:szCs w:val="21"/>
          <w14:textFill>
            <w14:solidFill>
              <w14:schemeClr w14:val="tx1">
                <w14:lumMod w14:val="95000"/>
                <w14:lumOff w14:val="5000"/>
              </w14:schemeClr>
            </w14:solidFill>
          </w14:textFill>
        </w:rPr>
        <w:t>过程中，注意总结经验，积累资料，随时将有关意见和建议反馈给中国大坝工程学会（通信地址：北京市海淀区玉渊潭南路3号；邮政编码：100038；电话：010-68781415；电子邮箱：chincold@</w:t>
      </w:r>
      <w:r>
        <w:rPr>
          <w:rFonts w:hint="eastAsia"/>
          <w:color w:val="0D0D0D" w:themeColor="text1" w:themeTint="F2"/>
          <w:szCs w:val="21"/>
          <w14:textFill>
            <w14:solidFill>
              <w14:schemeClr w14:val="tx1">
                <w14:lumMod w14:val="95000"/>
                <w14:lumOff w14:val="5000"/>
              </w14:schemeClr>
            </w14:solidFill>
          </w14:textFill>
        </w:rPr>
        <w:t>126</w:t>
      </w:r>
      <w:r>
        <w:rPr>
          <w:color w:val="0D0D0D" w:themeColor="text1" w:themeTint="F2"/>
          <w:szCs w:val="21"/>
          <w14:textFill>
            <w14:solidFill>
              <w14:schemeClr w14:val="tx1">
                <w14:lumMod w14:val="95000"/>
                <w14:lumOff w14:val="5000"/>
              </w14:schemeClr>
            </w14:solidFill>
          </w14:textFill>
        </w:rPr>
        <w:t>.c</w:t>
      </w:r>
      <w:r>
        <w:rPr>
          <w:rFonts w:hint="eastAsia"/>
          <w:color w:val="0D0D0D" w:themeColor="text1" w:themeTint="F2"/>
          <w:szCs w:val="21"/>
          <w14:textFill>
            <w14:solidFill>
              <w14:schemeClr w14:val="tx1">
                <w14:lumMod w14:val="95000"/>
                <w14:lumOff w14:val="5000"/>
              </w14:schemeClr>
            </w14:solidFill>
          </w14:textFill>
        </w:rPr>
        <w:t>om</w:t>
      </w:r>
      <w:r>
        <w:rPr>
          <w:color w:val="0D0D0D" w:themeColor="text1" w:themeTint="F2"/>
          <w:szCs w:val="21"/>
          <w14:textFill>
            <w14:solidFill>
              <w14:schemeClr w14:val="tx1">
                <w14:lumMod w14:val="95000"/>
                <w14:lumOff w14:val="5000"/>
              </w14:schemeClr>
            </w14:solidFill>
          </w14:textFill>
        </w:rPr>
        <w:t>），以供今后修订时参考。</w:t>
      </w:r>
    </w:p>
    <w:p w14:paraId="04113B26">
      <w:pPr>
        <w:pStyle w:val="2"/>
        <w:spacing w:before="120" w:after="120"/>
        <w:ind w:firstLine="562"/>
        <w:rPr>
          <w:color w:val="0D0D0D" w:themeColor="text1" w:themeTint="F2"/>
          <w14:textFill>
            <w14:solidFill>
              <w14:schemeClr w14:val="tx1">
                <w14:lumMod w14:val="95000"/>
                <w14:lumOff w14:val="5000"/>
              </w14:schemeClr>
            </w14:solidFill>
          </w14:textFill>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440" w:right="1800" w:bottom="1440" w:left="1800" w:header="720" w:footer="720" w:gutter="0"/>
          <w:cols w:space="720" w:num="1"/>
        </w:sectPr>
      </w:pPr>
      <w:bookmarkStart w:id="0" w:name="_Toc24462791"/>
      <w:bookmarkStart w:id="1" w:name="_Toc24462852"/>
    </w:p>
    <w:p w14:paraId="2416E49F">
      <w:pPr>
        <w:spacing w:line="300" w:lineRule="auto"/>
        <w:ind w:firstLine="3573" w:firstLineChars="1271"/>
        <w:rPr>
          <w:b/>
          <w:color w:val="0D0D0D" w:themeColor="text1" w:themeTint="F2"/>
          <w:sz w:val="28"/>
          <w:szCs w:val="28"/>
          <w14:textFill>
            <w14:solidFill>
              <w14:schemeClr w14:val="tx1">
                <w14:lumMod w14:val="95000"/>
                <w14:lumOff w14:val="5000"/>
              </w14:schemeClr>
            </w14:solidFill>
          </w14:textFill>
        </w:rPr>
      </w:pPr>
      <w:r>
        <w:rPr>
          <w:b/>
          <w:color w:val="0D0D0D" w:themeColor="text1" w:themeTint="F2"/>
          <w:sz w:val="28"/>
          <w:szCs w:val="28"/>
          <w14:textFill>
            <w14:solidFill>
              <w14:schemeClr w14:val="tx1">
                <w14:lumMod w14:val="95000"/>
                <w14:lumOff w14:val="5000"/>
              </w14:schemeClr>
            </w14:solidFill>
          </w14:textFill>
        </w:rPr>
        <w:t>目      次</w:t>
      </w:r>
    </w:p>
    <w:p w14:paraId="2BF4AD8E">
      <w:pPr>
        <w:pStyle w:val="19"/>
        <w:tabs>
          <w:tab w:val="right" w:leader="dot" w:pos="8296"/>
        </w:tabs>
        <w:ind w:firstLine="0" w:firstLineChars="0"/>
        <w:rPr>
          <w:rFonts w:ascii="Times New Roman" w:hAnsi="Times New Roman" w:cs="Times New Roman"/>
          <w:caps w:val="0"/>
          <w:sz w:val="22"/>
          <w:szCs w:val="24"/>
          <w14:ligatures w14:val="standardContextual"/>
        </w:rPr>
      </w:pPr>
      <w:r>
        <w:rPr>
          <w:rFonts w:ascii="Times New Roman" w:hAnsi="Times New Roman" w:cs="Times New Roman"/>
          <w:color w:val="0D0D0D" w:themeColor="text1" w:themeTint="F2"/>
          <w:sz w:val="24"/>
          <w:szCs w:val="24"/>
          <w14:textFill>
            <w14:solidFill>
              <w14:schemeClr w14:val="tx1">
                <w14:lumMod w14:val="95000"/>
                <w14:lumOff w14:val="5000"/>
              </w14:schemeClr>
            </w14:solidFill>
          </w14:textFill>
        </w:rPr>
        <w:fldChar w:fldCharType="begin"/>
      </w:r>
      <w:r>
        <w:rPr>
          <w:rFonts w:ascii="Times New Roman" w:hAnsi="Times New Roman" w:cs="Times New Roman"/>
          <w:color w:val="0D0D0D" w:themeColor="text1" w:themeTint="F2"/>
          <w:sz w:val="24"/>
          <w:szCs w:val="24"/>
          <w14:textFill>
            <w14:solidFill>
              <w14:schemeClr w14:val="tx1">
                <w14:lumMod w14:val="95000"/>
                <w14:lumOff w14:val="5000"/>
              </w14:schemeClr>
            </w14:solidFill>
          </w14:textFill>
        </w:rPr>
        <w:instrText xml:space="preserve"> TOC \o "1-2" \h \z \u </w:instrText>
      </w:r>
      <w:r>
        <w:rPr>
          <w:rFonts w:ascii="Times New Roman" w:hAnsi="Times New Roman" w:cs="Times New Roman"/>
          <w:color w:val="0D0D0D" w:themeColor="text1" w:themeTint="F2"/>
          <w:sz w:val="24"/>
          <w:szCs w:val="24"/>
          <w14:textFill>
            <w14:solidFill>
              <w14:schemeClr w14:val="tx1">
                <w14:lumMod w14:val="95000"/>
                <w14:lumOff w14:val="5000"/>
              </w14:schemeClr>
            </w14:solidFill>
          </w14:textFill>
        </w:rPr>
        <w:fldChar w:fldCharType="separate"/>
      </w:r>
      <w:r>
        <w:fldChar w:fldCharType="begin"/>
      </w:r>
      <w:r>
        <w:instrText xml:space="preserve"> HYPERLINK \l "_Toc199246889" </w:instrText>
      </w:r>
      <w:r>
        <w:fldChar w:fldCharType="separate"/>
      </w:r>
      <w:r>
        <w:rPr>
          <w:rStyle w:val="28"/>
          <w:rFonts w:ascii="Times New Roman" w:hAnsi="Times New Roman" w:cs="Times New Roman"/>
        </w:rPr>
        <w:t>1 总则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_Toc199246889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64B2E19F">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"_Toc199246890" </w:instrText>
      </w:r>
      <w:r>
        <w:fldChar w:fldCharType="separate"/>
      </w:r>
      <w:r>
        <w:rPr>
          <w:rStyle w:val="28"/>
          <w:rFonts w:ascii="Times New Roman" w:hAnsi="Times New Roman" w:cs="Times New Roman"/>
        </w:rPr>
        <w:t>2 符号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_Toc199246890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3D868414">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"_Toc199246891" </w:instrText>
      </w:r>
      <w:r>
        <w:fldChar w:fldCharType="separate"/>
      </w:r>
      <w:r>
        <w:rPr>
          <w:rStyle w:val="28"/>
          <w:rFonts w:ascii="Times New Roman" w:hAnsi="Times New Roman" w:cs="Times New Roman"/>
        </w:rPr>
        <w:t>3 基本规定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_Toc199246891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6C85BBA5">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"_Toc199246892" </w:instrText>
      </w:r>
      <w:r>
        <w:fldChar w:fldCharType="separate"/>
      </w:r>
      <w:r>
        <w:rPr>
          <w:rStyle w:val="28"/>
          <w:rFonts w:ascii="Times New Roman" w:hAnsi="Times New Roman" w:cs="Times New Roman"/>
        </w:rPr>
        <w:t>4 配制强度的确定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_Toc199246892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617C949D">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"_Toc199246893" </w:instrText>
      </w:r>
      <w:r>
        <w:fldChar w:fldCharType="separate"/>
      </w:r>
      <w:r>
        <w:rPr>
          <w:rStyle w:val="28"/>
          <w:rFonts w:ascii="Times New Roman" w:hAnsi="Times New Roman" w:cs="Times New Roman"/>
        </w:rPr>
        <w:t>5 配合比的计算</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_Toc199246893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035E25A1">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"_Toc199246894" </w:instrText>
      </w:r>
      <w:r>
        <w:fldChar w:fldCharType="separate"/>
      </w:r>
      <w:r>
        <w:rPr>
          <w:rStyle w:val="28"/>
          <w:rFonts w:ascii="Times New Roman" w:hAnsi="Times New Roman" w:cs="Times New Roman"/>
        </w:rPr>
        <w:t>6 配合比的试配、调整和确定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_Toc199246894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14:paraId="4DD635C1">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"_Toc199246895" </w:instrText>
      </w:r>
      <w:r>
        <w:fldChar w:fldCharType="separate"/>
      </w:r>
      <w:r>
        <w:rPr>
          <w:rStyle w:val="28"/>
          <w:rFonts w:ascii="Times New Roman" w:hAnsi="Times New Roman" w:cs="Times New Roman"/>
          <w:kern w:val="44"/>
        </w:rPr>
        <w:t>标准用词说明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_Toc199246895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fldChar w:fldCharType="end"/>
      </w:r>
    </w:p>
    <w:p w14:paraId="2DD903A8">
      <w:pPr>
        <w:pStyle w:val="19"/>
        <w:tabs>
          <w:tab w:val="right" w:leader="dot" w:pos="8296"/>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"_Toc199246896" </w:instrText>
      </w:r>
      <w:r>
        <w:fldChar w:fldCharType="separate"/>
      </w:r>
      <w:r>
        <w:rPr>
          <w:rStyle w:val="28"/>
          <w:rFonts w:ascii="Times New Roman" w:hAnsi="Times New Roman" w:cs="Times New Roman"/>
          <w:kern w:val="44"/>
        </w:rPr>
        <w:t>条 文 说 明</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_Toc199246896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14:paraId="1C860FF4">
      <w:pPr>
        <w:spacing w:line="360" w:lineRule="auto"/>
        <w:ind w:firstLine="482"/>
        <w:rPr>
          <w:color w:val="0D0D0D" w:themeColor="text1" w:themeTint="F2"/>
          <w:szCs w:val="21"/>
          <w14:textFill>
            <w14:solidFill>
              <w14:schemeClr w14:val="tx1">
                <w14:lumMod w14:val="95000"/>
                <w14:lumOff w14:val="5000"/>
              </w14:schemeClr>
            </w14:solidFill>
          </w14:textFill>
        </w:rPr>
        <w:sectPr>
          <w:footerReference r:id="rId11" w:type="default"/>
          <w:pgSz w:w="11906" w:h="16838"/>
          <w:pgMar w:top="1440" w:right="1800" w:bottom="1440" w:left="1800" w:header="720" w:footer="720" w:gutter="0"/>
          <w:cols w:space="720" w:num="1"/>
        </w:sectPr>
      </w:pPr>
      <w:r>
        <w:rPr>
          <w:b/>
          <w:bCs/>
          <w:color w:val="0D0D0D" w:themeColor="text1" w:themeTint="F2"/>
          <w:sz w:val="24"/>
          <w:szCs w:val="24"/>
          <w14:textFill>
            <w14:solidFill>
              <w14:schemeClr w14:val="tx1">
                <w14:lumMod w14:val="95000"/>
                <w14:lumOff w14:val="5000"/>
              </w14:schemeClr>
            </w14:solidFill>
          </w14:textFill>
        </w:rPr>
        <w:fldChar w:fldCharType="end"/>
      </w:r>
    </w:p>
    <w:p w14:paraId="5E1ECAF9">
      <w:pPr>
        <w:pStyle w:val="2"/>
        <w:spacing w:before="156" w:after="156"/>
        <w:ind w:firstLine="562"/>
        <w:rPr>
          <w:color w:val="0D0D0D" w:themeColor="text1" w:themeTint="F2"/>
          <w14:textFill>
            <w14:solidFill>
              <w14:schemeClr w14:val="tx1">
                <w14:lumMod w14:val="95000"/>
                <w14:lumOff w14:val="5000"/>
              </w14:schemeClr>
            </w14:solidFill>
          </w14:textFill>
        </w:rPr>
      </w:pPr>
      <w:bookmarkStart w:id="2" w:name="_Toc62293596"/>
      <w:bookmarkStart w:id="3" w:name="_Toc199247346"/>
      <w:bookmarkStart w:id="4" w:name="_Toc64733480"/>
      <w:bookmarkStart w:id="5" w:name="_Toc199246889"/>
      <w:r>
        <w:rPr>
          <w:color w:val="0D0D0D" w:themeColor="text1" w:themeTint="F2"/>
          <w14:textFill>
            <w14:solidFill>
              <w14:schemeClr w14:val="tx1">
                <w14:lumMod w14:val="95000"/>
                <w14:lumOff w14:val="5000"/>
              </w14:schemeClr>
            </w14:solidFill>
          </w14:textFill>
        </w:rPr>
        <w:t>1</w:t>
      </w:r>
      <w:bookmarkEnd w:id="0"/>
      <w:bookmarkEnd w:id="1"/>
      <w:r>
        <w:rPr>
          <w:rFonts w:hint="eastAsia"/>
          <w:color w:val="0D0D0D" w:themeColor="text1" w:themeTint="F2"/>
          <w14:textFill>
            <w14:solidFill>
              <w14:schemeClr w14:val="tx1">
                <w14:lumMod w14:val="95000"/>
                <w14:lumOff w14:val="5000"/>
              </w14:schemeClr>
            </w14:solidFill>
          </w14:textFill>
        </w:rPr>
        <w:t xml:space="preserve"> </w:t>
      </w:r>
      <w:r>
        <w:rPr>
          <w:color w:val="0D0D0D" w:themeColor="text1" w:themeTint="F2"/>
          <w14:textFill>
            <w14:solidFill>
              <w14:schemeClr w14:val="tx1">
                <w14:lumMod w14:val="95000"/>
                <w14:lumOff w14:val="5000"/>
              </w14:schemeClr>
            </w14:solidFill>
          </w14:textFill>
        </w:rPr>
        <w:t>总则</w:t>
      </w:r>
      <w:bookmarkEnd w:id="2"/>
      <w:bookmarkEnd w:id="3"/>
      <w:bookmarkEnd w:id="4"/>
      <w:bookmarkEnd w:id="5"/>
    </w:p>
    <w:p w14:paraId="45691674">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b/>
          <w:color w:val="0D0D0D" w:themeColor="text1" w:themeTint="F2"/>
          <w:szCs w:val="21"/>
          <w14:textFill>
            <w14:solidFill>
              <w14:schemeClr w14:val="tx1">
                <w14:lumMod w14:val="95000"/>
                <w14:lumOff w14:val="5000"/>
              </w14:schemeClr>
            </w14:solidFill>
          </w14:textFill>
        </w:rPr>
        <w:t xml:space="preserve">1.0.1 </w:t>
      </w:r>
      <w:r>
        <w:rPr>
          <w:color w:val="0D0D0D" w:themeColor="text1" w:themeTint="F2"/>
          <w:szCs w:val="21"/>
          <w14:textFill>
            <w14:solidFill>
              <w14:schemeClr w14:val="tx1">
                <w14:lumMod w14:val="95000"/>
                <w14:lumOff w14:val="5000"/>
              </w14:schemeClr>
            </w14:solidFill>
          </w14:textFill>
        </w:rPr>
        <w:t>为规范胶结砂砾石配合比设计，满足工程设计与施工要求</w:t>
      </w:r>
      <w:bookmarkStart w:id="6" w:name="_Hlk68033122"/>
      <w:r>
        <w:rPr>
          <w:rFonts w:hint="eastAsia"/>
          <w:color w:val="0D0D0D" w:themeColor="text1" w:themeTint="F2"/>
          <w:szCs w:val="21"/>
          <w14:textFill>
            <w14:solidFill>
              <w14:schemeClr w14:val="tx1">
                <w14:lumMod w14:val="95000"/>
                <w14:lumOff w14:val="5000"/>
              </w14:schemeClr>
            </w14:solidFill>
          </w14:textFill>
        </w:rPr>
        <w:t>，</w:t>
      </w:r>
      <w:r>
        <w:rPr>
          <w:color w:val="0D0D0D" w:themeColor="text1" w:themeTint="F2"/>
          <w:szCs w:val="21"/>
          <w14:textFill>
            <w14:solidFill>
              <w14:schemeClr w14:val="tx1">
                <w14:lumMod w14:val="95000"/>
                <w14:lumOff w14:val="5000"/>
              </w14:schemeClr>
            </w14:solidFill>
          </w14:textFill>
        </w:rPr>
        <w:t>保证工程质量且经济合理，</w:t>
      </w:r>
      <w:bookmarkEnd w:id="6"/>
      <w:r>
        <w:rPr>
          <w:color w:val="0D0D0D" w:themeColor="text1" w:themeTint="F2"/>
          <w:szCs w:val="21"/>
          <w14:textFill>
            <w14:solidFill>
              <w14:schemeClr w14:val="tx1">
                <w14:lumMod w14:val="95000"/>
                <w14:lumOff w14:val="5000"/>
              </w14:schemeClr>
            </w14:solidFill>
          </w14:textFill>
        </w:rPr>
        <w:t>制定本规程。</w:t>
      </w:r>
    </w:p>
    <w:p w14:paraId="71F53235">
      <w:pPr>
        <w:spacing w:line="360" w:lineRule="auto"/>
        <w:ind w:firstLine="0" w:firstLineChars="0"/>
        <w:rPr>
          <w:rFonts w:eastAsia="Dotum"/>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1</w:t>
      </w:r>
      <w:r>
        <w:rPr>
          <w:b/>
          <w:color w:val="0D0D0D" w:themeColor="text1" w:themeTint="F2"/>
          <w:szCs w:val="21"/>
          <w14:textFill>
            <w14:solidFill>
              <w14:schemeClr w14:val="tx1">
                <w14:lumMod w14:val="95000"/>
                <w14:lumOff w14:val="5000"/>
              </w14:schemeClr>
            </w14:solidFill>
          </w14:textFill>
        </w:rPr>
        <w:t>.0.2</w:t>
      </w:r>
      <w:r>
        <w:rPr>
          <w:color w:val="0D0D0D" w:themeColor="text1" w:themeTint="F2"/>
          <w:szCs w:val="21"/>
          <w14:textFill>
            <w14:solidFill>
              <w14:schemeClr w14:val="tx1">
                <w14:lumMod w14:val="95000"/>
                <w14:lumOff w14:val="5000"/>
              </w14:schemeClr>
            </w14:solidFill>
          </w14:textFill>
        </w:rPr>
        <w:t xml:space="preserve"> 本规程适用于胶结砂砾石、富浆胶结砂砾石、加浆振捣胶结砂砾石的配合比设计。</w:t>
      </w:r>
    </w:p>
    <w:p w14:paraId="7A9B62F3">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b/>
          <w:color w:val="0D0D0D" w:themeColor="text1" w:themeTint="F2"/>
          <w:szCs w:val="21"/>
          <w14:textFill>
            <w14:solidFill>
              <w14:schemeClr w14:val="tx1">
                <w14:lumMod w14:val="95000"/>
                <w14:lumOff w14:val="5000"/>
              </w14:schemeClr>
            </w14:solidFill>
          </w14:textFill>
        </w:rPr>
        <w:t>1.0.3</w:t>
      </w:r>
      <w:r>
        <w:rPr>
          <w:color w:val="0D0D0D" w:themeColor="text1" w:themeTint="F2"/>
          <w:szCs w:val="21"/>
          <w14:textFill>
            <w14:solidFill>
              <w14:schemeClr w14:val="tx1">
                <w14:lumMod w14:val="95000"/>
                <w14:lumOff w14:val="5000"/>
              </w14:schemeClr>
            </w14:solidFill>
          </w14:textFill>
        </w:rPr>
        <w:t xml:space="preserve"> 本规程主要引用下列标准：</w:t>
      </w:r>
    </w:p>
    <w:p w14:paraId="36BF8541">
      <w:pPr>
        <w:spacing w:line="360" w:lineRule="auto"/>
        <w:ind w:firstLine="420"/>
        <w:rPr>
          <w:color w:val="0D0D0D" w:themeColor="text1" w:themeTint="F2"/>
          <w:szCs w:val="21"/>
          <w14:textFill>
            <w14:solidFill>
              <w14:schemeClr w14:val="tx1">
                <w14:lumMod w14:val="95000"/>
                <w14:lumOff w14:val="5000"/>
              </w14:schemeClr>
            </w14:solidFill>
          </w14:textFill>
        </w:rPr>
      </w:pPr>
      <w:r>
        <w:rPr>
          <w:rFonts w:hint="eastAsia"/>
          <w:color w:val="0D0D0D" w:themeColor="text1" w:themeTint="F2"/>
          <w:szCs w:val="21"/>
          <w14:textFill>
            <w14:solidFill>
              <w14:schemeClr w14:val="tx1">
                <w14:lumMod w14:val="95000"/>
                <w14:lumOff w14:val="5000"/>
              </w14:schemeClr>
            </w14:solidFill>
          </w14:textFill>
        </w:rPr>
        <w:t>GB 175 通用硅酸盐水泥</w:t>
      </w:r>
    </w:p>
    <w:p w14:paraId="36300B39">
      <w:pPr>
        <w:spacing w:line="360" w:lineRule="auto"/>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SL 352 水工混凝土试验规程</w:t>
      </w:r>
    </w:p>
    <w:p w14:paraId="585FFA7A">
      <w:pPr>
        <w:spacing w:line="360" w:lineRule="auto"/>
        <w:ind w:firstLine="420"/>
        <w:rPr>
          <w:color w:val="0D0D0D" w:themeColor="text1" w:themeTint="F2"/>
          <w:szCs w:val="21"/>
          <w14:textFill>
            <w14:solidFill>
              <w14:schemeClr w14:val="tx1">
                <w14:lumMod w14:val="95000"/>
                <w14:lumOff w14:val="5000"/>
              </w14:schemeClr>
            </w14:solidFill>
          </w14:textFill>
        </w:rPr>
      </w:pPr>
      <w:bookmarkStart w:id="7" w:name="_Hlk199247874"/>
      <w:r>
        <w:rPr>
          <w:color w:val="0D0D0D" w:themeColor="text1" w:themeTint="F2"/>
          <w:szCs w:val="21"/>
          <w14:textFill>
            <w14:solidFill>
              <w14:schemeClr w14:val="tx1">
                <w14:lumMod w14:val="95000"/>
                <w14:lumOff w14:val="5000"/>
              </w14:schemeClr>
            </w14:solidFill>
          </w14:textFill>
        </w:rPr>
        <w:t>SL</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678 胶结颗粒料筑坝技术导则</w:t>
      </w:r>
      <w:bookmarkEnd w:id="7"/>
    </w:p>
    <w:p w14:paraId="71086433">
      <w:pPr>
        <w:spacing w:line="360" w:lineRule="auto"/>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DL/T 5253</w:t>
      </w:r>
      <w:r>
        <w:rPr>
          <w:rFonts w:hint="eastAsia"/>
          <w:color w:val="0D0D0D" w:themeColor="text1" w:themeTint="F2"/>
          <w:szCs w:val="21"/>
          <w14:textFill>
            <w14:solidFill>
              <w14:schemeClr w14:val="tx1">
                <w14:lumMod w14:val="95000"/>
                <w14:lumOff w14:val="5000"/>
              </w14:schemeClr>
            </w14:solidFill>
          </w14:textFill>
        </w:rPr>
        <w:t xml:space="preserve"> 贫胶渣砾料碾压混凝土施工导则</w:t>
      </w:r>
    </w:p>
    <w:p w14:paraId="23F735EA">
      <w:pPr>
        <w:spacing w:line="360" w:lineRule="auto"/>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DL/T 5330 水工混凝土配合比设计规程</w:t>
      </w:r>
    </w:p>
    <w:p w14:paraId="1947A5F7">
      <w:pPr>
        <w:spacing w:line="360" w:lineRule="auto"/>
        <w:ind w:firstLine="420"/>
        <w:rPr>
          <w:color w:val="0D0D0D" w:themeColor="text1" w:themeTint="F2"/>
          <w:szCs w:val="21"/>
          <w14:textFill>
            <w14:solidFill>
              <w14:schemeClr w14:val="tx1">
                <w14:lumMod w14:val="95000"/>
                <w14:lumOff w14:val="5000"/>
              </w14:schemeClr>
            </w14:solidFill>
          </w14:textFill>
        </w:rPr>
      </w:pPr>
      <w:r>
        <w:rPr>
          <w:bCs/>
          <w:color w:val="0D0D0D" w:themeColor="text1" w:themeTint="F2"/>
          <w:szCs w:val="21"/>
          <w14:textFill>
            <w14:solidFill>
              <w14:schemeClr w14:val="tx1">
                <w14:lumMod w14:val="95000"/>
                <w14:lumOff w14:val="5000"/>
              </w14:schemeClr>
            </w14:solidFill>
          </w14:textFill>
        </w:rPr>
        <w:t xml:space="preserve">DL/T 5433 </w:t>
      </w:r>
      <w:r>
        <w:rPr>
          <w:color w:val="0D0D0D" w:themeColor="text1" w:themeTint="F2"/>
          <w:szCs w:val="21"/>
          <w14:textFill>
            <w14:solidFill>
              <w14:schemeClr w14:val="tx1">
                <w14:lumMod w14:val="95000"/>
                <w14:lumOff w14:val="5000"/>
              </w14:schemeClr>
            </w14:solidFill>
          </w14:textFill>
        </w:rPr>
        <w:t>水工碾压混凝土试验规程</w:t>
      </w:r>
    </w:p>
    <w:p w14:paraId="42CA17C6">
      <w:pPr>
        <w:spacing w:line="360" w:lineRule="auto"/>
        <w:ind w:firstLine="0" w:firstLineChars="0"/>
        <w:rPr>
          <w:color w:val="0D0D0D" w:themeColor="text1" w:themeTint="F2"/>
          <w:szCs w:val="21"/>
          <w14:textFill>
            <w14:solidFill>
              <w14:schemeClr w14:val="tx1">
                <w14:lumMod w14:val="95000"/>
                <w14:lumOff w14:val="5000"/>
              </w14:schemeClr>
            </w14:solidFill>
          </w14:textFill>
        </w:rPr>
      </w:pPr>
      <w:bookmarkStart w:id="8" w:name="_Hlk68033866"/>
      <w:r>
        <w:rPr>
          <w:b/>
          <w:color w:val="0D0D0D" w:themeColor="text1" w:themeTint="F2"/>
          <w:szCs w:val="21"/>
          <w14:textFill>
            <w14:solidFill>
              <w14:schemeClr w14:val="tx1">
                <w14:lumMod w14:val="95000"/>
                <w14:lumOff w14:val="5000"/>
              </w14:schemeClr>
            </w14:solidFill>
          </w14:textFill>
        </w:rPr>
        <w:t>1.0.</w:t>
      </w:r>
      <w:bookmarkEnd w:id="8"/>
      <w:r>
        <w:rPr>
          <w:b/>
          <w:color w:val="0D0D0D" w:themeColor="text1" w:themeTint="F2"/>
          <w:szCs w:val="21"/>
          <w14:textFill>
            <w14:solidFill>
              <w14:schemeClr w14:val="tx1">
                <w14:lumMod w14:val="95000"/>
                <w14:lumOff w14:val="5000"/>
              </w14:schemeClr>
            </w14:solidFill>
          </w14:textFill>
        </w:rPr>
        <w:t>4</w:t>
      </w:r>
      <w:r>
        <w:rPr>
          <w:color w:val="0D0D0D" w:themeColor="text1" w:themeTint="F2"/>
          <w:szCs w:val="21"/>
          <w14:textFill>
            <w14:solidFill>
              <w14:schemeClr w14:val="tx1">
                <w14:lumMod w14:val="95000"/>
                <w14:lumOff w14:val="5000"/>
              </w14:schemeClr>
            </w14:solidFill>
          </w14:textFill>
        </w:rPr>
        <w:t xml:space="preserve"> 胶结砂砾石配合比设计</w:t>
      </w:r>
      <w:r>
        <w:rPr>
          <w:rFonts w:hint="eastAsia"/>
          <w:color w:val="0D0D0D" w:themeColor="text1" w:themeTint="F2"/>
          <w:szCs w:val="21"/>
          <w14:textFill>
            <w14:solidFill>
              <w14:schemeClr w14:val="tx1">
                <w14:lumMod w14:val="95000"/>
                <w14:lumOff w14:val="5000"/>
              </w14:schemeClr>
            </w14:solidFill>
          </w14:textFill>
        </w:rPr>
        <w:t>，</w:t>
      </w:r>
      <w:r>
        <w:rPr>
          <w:color w:val="0D0D0D" w:themeColor="text1" w:themeTint="F2"/>
          <w:szCs w:val="21"/>
          <w14:textFill>
            <w14:solidFill>
              <w14:schemeClr w14:val="tx1">
                <w14:lumMod w14:val="95000"/>
                <w14:lumOff w14:val="5000"/>
              </w14:schemeClr>
            </w14:solidFill>
          </w14:textFill>
        </w:rPr>
        <w:t>除应符合本规程外，尚应符合国家现行有关标准的规定。</w:t>
      </w:r>
    </w:p>
    <w:p w14:paraId="3EE8BF7B">
      <w:pPr>
        <w:spacing w:line="360" w:lineRule="auto"/>
        <w:ind w:firstLine="0" w:firstLineChars="0"/>
        <w:rPr>
          <w:color w:val="0D0D0D" w:themeColor="text1" w:themeTint="F2"/>
          <w:szCs w:val="21"/>
          <w14:textFill>
            <w14:solidFill>
              <w14:schemeClr w14:val="tx1">
                <w14:lumMod w14:val="95000"/>
                <w14:lumOff w14:val="5000"/>
              </w14:schemeClr>
            </w14:solidFill>
          </w14:textFill>
        </w:rPr>
      </w:pPr>
    </w:p>
    <w:p w14:paraId="5E5E6324">
      <w:pPr>
        <w:spacing w:line="360" w:lineRule="auto"/>
        <w:ind w:firstLine="0" w:firstLineChars="0"/>
        <w:rPr>
          <w:color w:val="0D0D0D" w:themeColor="text1" w:themeTint="F2"/>
          <w:szCs w:val="21"/>
          <w14:textFill>
            <w14:solidFill>
              <w14:schemeClr w14:val="tx1">
                <w14:lumMod w14:val="95000"/>
                <w14:lumOff w14:val="5000"/>
              </w14:schemeClr>
            </w14:solidFill>
          </w14:textFill>
        </w:rPr>
        <w:sectPr>
          <w:footerReference r:id="rId12" w:type="default"/>
          <w:pgSz w:w="11907" w:h="16840"/>
          <w:pgMar w:top="1440" w:right="1797" w:bottom="1440" w:left="1797" w:header="851" w:footer="992" w:gutter="0"/>
          <w:pgNumType w:start="1"/>
          <w:cols w:space="720" w:num="1"/>
          <w:docGrid w:type="lines" w:linePitch="312" w:charSpace="0"/>
        </w:sectPr>
      </w:pPr>
    </w:p>
    <w:p w14:paraId="2283FC90">
      <w:pPr>
        <w:pStyle w:val="2"/>
        <w:spacing w:before="156" w:after="156"/>
        <w:ind w:firstLine="562"/>
        <w:rPr>
          <w:color w:val="0D0D0D" w:themeColor="text1" w:themeTint="F2"/>
          <w14:textFill>
            <w14:solidFill>
              <w14:schemeClr w14:val="tx1">
                <w14:lumMod w14:val="95000"/>
                <w14:lumOff w14:val="5000"/>
              </w14:schemeClr>
            </w14:solidFill>
          </w14:textFill>
        </w:rPr>
      </w:pPr>
      <w:bookmarkStart w:id="9" w:name="_Toc199247347"/>
      <w:bookmarkStart w:id="10" w:name="_Toc199246890"/>
      <w:r>
        <w:rPr>
          <w:rFonts w:hint="eastAsia"/>
          <w:color w:val="0D0D0D" w:themeColor="text1" w:themeTint="F2"/>
          <w14:textFill>
            <w14:solidFill>
              <w14:schemeClr w14:val="tx1">
                <w14:lumMod w14:val="95000"/>
                <w14:lumOff w14:val="5000"/>
              </w14:schemeClr>
            </w14:solidFill>
          </w14:textFill>
        </w:rPr>
        <w:t>2 符号</w:t>
      </w:r>
      <w:bookmarkEnd w:id="9"/>
      <w:bookmarkEnd w:id="10"/>
    </w:p>
    <w:p w14:paraId="15E928A3">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cu,0</w:t>
      </w:r>
      <w:r>
        <w:rPr>
          <w:i/>
          <w:iCs/>
          <w:snapToGrid w:val="0"/>
          <w:color w:val="0D0D0D" w:themeColor="text1" w:themeTint="F2"/>
          <w:kern w:val="0"/>
          <w:szCs w:val="24"/>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胶结砂砾石配制强度，MPa；</w:t>
      </w:r>
    </w:p>
    <w:p w14:paraId="2CC8B548">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cu,k</w:t>
      </w:r>
      <w:r>
        <w:rPr>
          <w:i/>
          <w:iCs/>
          <w:snapToGrid w:val="0"/>
          <w:color w:val="0D0D0D" w:themeColor="text1" w:themeTint="F2"/>
          <w:kern w:val="0"/>
          <w:szCs w:val="24"/>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胶结砂砾石设计龄期的</w:t>
      </w:r>
      <w:r>
        <w:rPr>
          <w:rFonts w:hint="eastAsia"/>
          <w:snapToGrid w:val="0"/>
          <w:color w:val="0D0D0D" w:themeColor="text1" w:themeTint="F2"/>
          <w:kern w:val="0"/>
          <w:szCs w:val="24"/>
          <w14:textFill>
            <w14:solidFill>
              <w14:schemeClr w14:val="tx1">
                <w14:lumMod w14:val="95000"/>
                <w14:lumOff w14:val="5000"/>
              </w14:schemeClr>
            </w14:solidFill>
          </w14:textFill>
        </w:rPr>
        <w:t>立方体</w:t>
      </w:r>
      <w:r>
        <w:rPr>
          <w:snapToGrid w:val="0"/>
          <w:color w:val="0D0D0D" w:themeColor="text1" w:themeTint="F2"/>
          <w:kern w:val="0"/>
          <w:szCs w:val="24"/>
          <w14:textFill>
            <w14:solidFill>
              <w14:schemeClr w14:val="tx1">
                <w14:lumMod w14:val="95000"/>
                <w14:lumOff w14:val="5000"/>
              </w14:schemeClr>
            </w14:solidFill>
          </w14:textFill>
        </w:rPr>
        <w:t>抗压强度标准值，MPa；</w:t>
      </w:r>
    </w:p>
    <w:p w14:paraId="2ADF4A3F">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 xml:space="preserve">t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保证率系数，由给定的保证率</w:t>
      </w:r>
      <w:r>
        <w:rPr>
          <w:i/>
          <w:iCs/>
          <w:snapToGrid w:val="0"/>
          <w:color w:val="0D0D0D" w:themeColor="text1" w:themeTint="F2"/>
          <w:kern w:val="0"/>
          <w:szCs w:val="24"/>
          <w14:textFill>
            <w14:solidFill>
              <w14:schemeClr w14:val="tx1">
                <w14:lumMod w14:val="95000"/>
                <w14:lumOff w14:val="5000"/>
              </w14:schemeClr>
            </w14:solidFill>
          </w14:textFill>
        </w:rPr>
        <w:t>P</w:t>
      </w:r>
      <w:r>
        <w:rPr>
          <w:snapToGrid w:val="0"/>
          <w:color w:val="0D0D0D" w:themeColor="text1" w:themeTint="F2"/>
          <w:kern w:val="0"/>
          <w:szCs w:val="24"/>
          <w14:textFill>
            <w14:solidFill>
              <w14:schemeClr w14:val="tx1">
                <w14:lumMod w14:val="95000"/>
                <w14:lumOff w14:val="5000"/>
              </w14:schemeClr>
            </w14:solidFill>
          </w14:textFill>
        </w:rPr>
        <w:t>选定；</w:t>
      </w:r>
    </w:p>
    <w:p w14:paraId="53302A7A">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 xml:space="preserve">σ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胶结砂砾石抗压强度标准差，MPa</w:t>
      </w:r>
      <w:r>
        <w:rPr>
          <w:rFonts w:hint="eastAsia"/>
          <w:snapToGrid w:val="0"/>
          <w:color w:val="0D0D0D" w:themeColor="text1" w:themeTint="F2"/>
          <w:kern w:val="0"/>
          <w:szCs w:val="24"/>
          <w14:textFill>
            <w14:solidFill>
              <w14:schemeClr w14:val="tx1">
                <w14:lumMod w14:val="95000"/>
                <w14:lumOff w14:val="5000"/>
              </w14:schemeClr>
            </w14:solidFill>
          </w14:textFill>
        </w:rPr>
        <w:t>；</w:t>
      </w:r>
    </w:p>
    <w:p w14:paraId="14AEE0F0">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cu,i</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第</w:t>
      </w:r>
      <w:r>
        <w:rPr>
          <w:i/>
          <w:iCs/>
          <w:snapToGrid w:val="0"/>
          <w:color w:val="0D0D0D" w:themeColor="text1" w:themeTint="F2"/>
          <w:kern w:val="0"/>
          <w:szCs w:val="24"/>
          <w14:textFill>
            <w14:solidFill>
              <w14:schemeClr w14:val="tx1">
                <w14:lumMod w14:val="95000"/>
                <w14:lumOff w14:val="5000"/>
              </w14:schemeClr>
            </w14:solidFill>
          </w14:textFill>
        </w:rPr>
        <w:t>i</w:t>
      </w:r>
      <w:r>
        <w:rPr>
          <w:snapToGrid w:val="0"/>
          <w:color w:val="0D0D0D" w:themeColor="text1" w:themeTint="F2"/>
          <w:kern w:val="0"/>
          <w:szCs w:val="24"/>
          <w14:textFill>
            <w14:solidFill>
              <w14:schemeClr w14:val="tx1">
                <w14:lumMod w14:val="95000"/>
                <w14:lumOff w14:val="5000"/>
              </w14:schemeClr>
            </w14:solidFill>
          </w14:textFill>
        </w:rPr>
        <w:t>组试件抗压强度，MPa；</w:t>
      </w:r>
    </w:p>
    <w:p w14:paraId="13F80280">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snapToGrid w:val="0"/>
          <w:color w:val="0D0D0D" w:themeColor="text1" w:themeTint="F2"/>
          <w:kern w:val="0"/>
          <w:position w:val="-14"/>
          <w:szCs w:val="24"/>
          <w14:textFill>
            <w14:solidFill>
              <w14:schemeClr w14:val="tx1">
                <w14:lumMod w14:val="95000"/>
                <w14:lumOff w14:val="5000"/>
              </w14:schemeClr>
            </w14:solidFill>
          </w14:textFill>
        </w:rPr>
        <w:drawing>
          <wp:inline distT="0" distB="0" distL="0" distR="0">
            <wp:extent cx="269875" cy="216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9875" cy="216535"/>
                    </a:xfrm>
                    <a:prstGeom prst="rect">
                      <a:avLst/>
                    </a:prstGeom>
                    <a:noFill/>
                    <a:ln>
                      <a:noFill/>
                    </a:ln>
                  </pic:spPr>
                </pic:pic>
              </a:graphicData>
            </a:graphic>
          </wp:inline>
        </w:drawing>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w:t>
      </w:r>
      <w:r>
        <w:rPr>
          <w:i/>
          <w:iCs/>
          <w:snapToGrid w:val="0"/>
          <w:color w:val="0D0D0D" w:themeColor="text1" w:themeTint="F2"/>
          <w:kern w:val="0"/>
          <w:szCs w:val="24"/>
          <w14:textFill>
            <w14:solidFill>
              <w14:schemeClr w14:val="tx1">
                <w14:lumMod w14:val="95000"/>
                <w14:lumOff w14:val="5000"/>
              </w14:schemeClr>
            </w14:solidFill>
          </w14:textFill>
        </w:rPr>
        <w:t>n</w:t>
      </w:r>
      <w:r>
        <w:rPr>
          <w:snapToGrid w:val="0"/>
          <w:color w:val="0D0D0D" w:themeColor="text1" w:themeTint="F2"/>
          <w:kern w:val="0"/>
          <w:szCs w:val="24"/>
          <w14:textFill>
            <w14:solidFill>
              <w14:schemeClr w14:val="tx1">
                <w14:lumMod w14:val="95000"/>
                <w14:lumOff w14:val="5000"/>
              </w14:schemeClr>
            </w14:solidFill>
          </w14:textFill>
        </w:rPr>
        <w:t>组试件的抗压强度平均值，MPa；</w:t>
      </w:r>
    </w:p>
    <w:p w14:paraId="4C4881F8">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 xml:space="preserve">n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试件组数</w:t>
      </w:r>
      <w:r>
        <w:rPr>
          <w:rFonts w:hint="eastAsia"/>
          <w:snapToGrid w:val="0"/>
          <w:color w:val="0D0D0D" w:themeColor="text1" w:themeTint="F2"/>
          <w:kern w:val="0"/>
          <w:szCs w:val="24"/>
          <w14:textFill>
            <w14:solidFill>
              <w14:schemeClr w14:val="tx1">
                <w14:lumMod w14:val="95000"/>
                <w14:lumOff w14:val="5000"/>
              </w14:schemeClr>
            </w14:solidFill>
          </w14:textFill>
        </w:rPr>
        <w:t>；</w:t>
      </w:r>
    </w:p>
    <w:p w14:paraId="349E456B">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C—水泥用量，kg；</w:t>
      </w:r>
    </w:p>
    <w:p w14:paraId="36D9F0DD">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F—掺合料用量，kg；</w:t>
      </w:r>
    </w:p>
    <w:p w14:paraId="4179AAB7">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δ</w:t>
      </w:r>
      <w:r>
        <w:rPr>
          <w:snapToGrid w:val="0"/>
          <w:color w:val="0D0D0D" w:themeColor="text1" w:themeTint="F2"/>
          <w:kern w:val="0"/>
          <w:szCs w:val="24"/>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配合比校正系数；</w:t>
      </w:r>
    </w:p>
    <w:p w14:paraId="7396FF66">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 xml:space="preserve">c, t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实测</w:t>
      </w:r>
      <w:r>
        <w:rPr>
          <w:snapToGrid w:val="0"/>
          <w:color w:val="0D0D0D" w:themeColor="text1" w:themeTint="F2"/>
          <w:kern w:val="0"/>
          <w:szCs w:val="24"/>
          <w14:textFill>
            <w14:solidFill>
              <w14:schemeClr w14:val="tx1">
                <w14:lumMod w14:val="95000"/>
                <w14:lumOff w14:val="5000"/>
              </w14:schemeClr>
            </w14:solidFill>
          </w14:textFill>
        </w:rPr>
        <w:t>拌和物的质量，kg；</w:t>
      </w:r>
    </w:p>
    <w:p w14:paraId="02D0F2DB">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V</w:t>
      </w:r>
      <w:r>
        <w:rPr>
          <w:i/>
          <w:snapToGrid w:val="0"/>
          <w:color w:val="0D0D0D" w:themeColor="text1" w:themeTint="F2"/>
          <w:kern w:val="0"/>
          <w:szCs w:val="24"/>
          <w:vertAlign w:val="subscript"/>
          <w14:textFill>
            <w14:solidFill>
              <w14:schemeClr w14:val="tx1">
                <w14:lumMod w14:val="95000"/>
                <w14:lumOff w14:val="5000"/>
              </w14:schemeClr>
            </w14:solidFill>
          </w14:textFill>
        </w:rPr>
        <w:t xml:space="preserve">c, t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实测</w:t>
      </w:r>
      <w:r>
        <w:rPr>
          <w:snapToGrid w:val="0"/>
          <w:color w:val="0D0D0D" w:themeColor="text1" w:themeTint="F2"/>
          <w:kern w:val="0"/>
          <w:szCs w:val="24"/>
          <w14:textFill>
            <w14:solidFill>
              <w14:schemeClr w14:val="tx1">
                <w14:lumMod w14:val="95000"/>
                <w14:lumOff w14:val="5000"/>
              </w14:schemeClr>
            </w14:solidFill>
          </w14:textFill>
        </w:rPr>
        <w:t>拌和物的体积，m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25016658">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w</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用水量，kg/m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41C00CF2">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c</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水泥用量，kg/m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7FBD7B9F">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p</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掺合料用量，kg/m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233C8F8E">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s</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细骨料用量，kg/m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655BF9C0">
      <w:pPr>
        <w:spacing w:line="360" w:lineRule="auto"/>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g</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粗骨料用量，kg/m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670CDECC">
      <w:pPr>
        <w:ind w:firstLine="630" w:firstLineChars="300"/>
        <w:rPr>
          <w:color w:val="0D0D0D" w:themeColor="text1" w:themeTint="F2"/>
          <w14:textFill>
            <w14:solidFill>
              <w14:schemeClr w14:val="tx1">
                <w14:lumMod w14:val="95000"/>
                <w14:lumOff w14:val="5000"/>
              </w14:schemeClr>
            </w14:solidFill>
          </w14:textFill>
        </w:rPr>
      </w:pPr>
    </w:p>
    <w:p w14:paraId="71A296EB">
      <w:pPr>
        <w:pStyle w:val="2"/>
        <w:spacing w:before="156" w:after="156"/>
        <w:ind w:firstLine="562"/>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p>
    <w:p w14:paraId="3CABDCEE">
      <w:pPr>
        <w:pStyle w:val="2"/>
        <w:spacing w:before="156" w:after="156"/>
        <w:ind w:firstLine="562"/>
        <w:rPr>
          <w:i/>
          <w:color w:val="0D0D0D" w:themeColor="text1" w:themeTint="F2"/>
          <w14:textFill>
            <w14:solidFill>
              <w14:schemeClr w14:val="tx1">
                <w14:lumMod w14:val="95000"/>
                <w14:lumOff w14:val="5000"/>
              </w14:schemeClr>
            </w14:solidFill>
          </w14:textFill>
        </w:rPr>
      </w:pPr>
      <w:bookmarkStart w:id="11" w:name="_Toc199246891"/>
      <w:bookmarkStart w:id="12" w:name="_Toc199247348"/>
      <w:r>
        <w:rPr>
          <w:rFonts w:hint="eastAsia"/>
          <w:color w:val="0D0D0D" w:themeColor="text1" w:themeTint="F2"/>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xml:space="preserve"> </w:t>
      </w:r>
      <w:r>
        <w:rPr>
          <w:rFonts w:hint="eastAsia"/>
          <w:color w:val="0D0D0D" w:themeColor="text1" w:themeTint="F2"/>
          <w14:textFill>
            <w14:solidFill>
              <w14:schemeClr w14:val="tx1">
                <w14:lumMod w14:val="95000"/>
                <w14:lumOff w14:val="5000"/>
              </w14:schemeClr>
            </w14:solidFill>
          </w14:textFill>
        </w:rPr>
        <w:t>基本规定</w:t>
      </w:r>
      <w:bookmarkEnd w:id="11"/>
      <w:bookmarkEnd w:id="12"/>
    </w:p>
    <w:p w14:paraId="4B696137">
      <w:pPr>
        <w:spacing w:line="360" w:lineRule="auto"/>
        <w:ind w:firstLine="0" w:firstLineChars="0"/>
        <w:rPr>
          <w:i/>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3</w:t>
      </w:r>
      <w:r>
        <w:rPr>
          <w:b/>
          <w:color w:val="0D0D0D" w:themeColor="text1" w:themeTint="F2"/>
          <w:szCs w:val="21"/>
          <w14:textFill>
            <w14:solidFill>
              <w14:schemeClr w14:val="tx1">
                <w14:lumMod w14:val="95000"/>
                <w14:lumOff w14:val="5000"/>
              </w14:schemeClr>
            </w14:solidFill>
          </w14:textFill>
        </w:rPr>
        <w:t>.0.</w:t>
      </w:r>
      <w:r>
        <w:rPr>
          <w:rFonts w:hint="eastAsia"/>
          <w:b/>
          <w:color w:val="0D0D0D" w:themeColor="text1" w:themeTint="F2"/>
          <w:szCs w:val="21"/>
          <w14:textFill>
            <w14:solidFill>
              <w14:schemeClr w14:val="tx1">
                <w14:lumMod w14:val="95000"/>
                <w14:lumOff w14:val="5000"/>
              </w14:schemeClr>
            </w14:solidFill>
          </w14:textFill>
        </w:rPr>
        <w:t>1</w:t>
      </w:r>
      <w:r>
        <w:rPr>
          <w:bCs/>
          <w:color w:val="0D0D0D" w:themeColor="text1" w:themeTint="F2"/>
          <w:szCs w:val="21"/>
          <w14:textFill>
            <w14:solidFill>
              <w14:schemeClr w14:val="tx1">
                <w14:lumMod w14:val="95000"/>
                <w14:lumOff w14:val="5000"/>
              </w14:schemeClr>
            </w14:solidFill>
          </w14:textFill>
        </w:rPr>
        <w:t>胶结砂砾石配合比设计的基本原则：</w:t>
      </w:r>
    </w:p>
    <w:p w14:paraId="1CE1D9DA">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应根据工程要求、施工条件和</w:t>
      </w:r>
      <w:r>
        <w:rPr>
          <w:rFonts w:hint="eastAsia"/>
          <w:color w:val="0D0D0D" w:themeColor="text1" w:themeTint="F2"/>
          <w:szCs w:val="21"/>
          <w14:textFill>
            <w14:solidFill>
              <w14:schemeClr w14:val="tx1">
                <w14:lumMod w14:val="95000"/>
                <w14:lumOff w14:val="5000"/>
              </w14:schemeClr>
            </w14:solidFill>
          </w14:textFill>
        </w:rPr>
        <w:t>砂砾石</w:t>
      </w:r>
      <w:r>
        <w:rPr>
          <w:color w:val="0D0D0D" w:themeColor="text1" w:themeTint="F2"/>
          <w:szCs w:val="21"/>
          <w14:textFill>
            <w14:solidFill>
              <w14:schemeClr w14:val="tx1">
                <w14:lumMod w14:val="95000"/>
                <w14:lumOff w14:val="5000"/>
              </w14:schemeClr>
            </w14:solidFill>
          </w14:textFill>
        </w:rPr>
        <w:t>料状况，通过试验确定各组成材料的用量。</w:t>
      </w:r>
    </w:p>
    <w:p w14:paraId="49CFA567">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胶结砂砾石配合比试验使用的原材料应采用工程中实际使用的原材料。</w:t>
      </w:r>
    </w:p>
    <w:p w14:paraId="24C3672E">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胶结砂砾石配合比</w:t>
      </w:r>
      <w:r>
        <w:rPr>
          <w:rFonts w:hint="eastAsia"/>
          <w:color w:val="0D0D0D" w:themeColor="text1" w:themeTint="F2"/>
          <w:szCs w:val="21"/>
          <w14:textFill>
            <w14:solidFill>
              <w14:schemeClr w14:val="tx1">
                <w14:lumMod w14:val="95000"/>
                <w14:lumOff w14:val="5000"/>
              </w14:schemeClr>
            </w14:solidFill>
          </w14:textFill>
        </w:rPr>
        <w:t>应</w:t>
      </w:r>
      <w:r>
        <w:rPr>
          <w:color w:val="0D0D0D" w:themeColor="text1" w:themeTint="F2"/>
          <w:szCs w:val="21"/>
          <w14:textFill>
            <w14:solidFill>
              <w14:schemeClr w14:val="tx1">
                <w14:lumMod w14:val="95000"/>
                <w14:lumOff w14:val="5000"/>
              </w14:schemeClr>
            </w14:solidFill>
          </w14:textFill>
        </w:rPr>
        <w:t>在施工前通过现场试验验证。</w:t>
      </w:r>
    </w:p>
    <w:p w14:paraId="3047EDEE">
      <w:pPr>
        <w:spacing w:line="360" w:lineRule="auto"/>
        <w:ind w:firstLine="0" w:firstLineChars="0"/>
        <w:rPr>
          <w:b/>
          <w:color w:val="0D0D0D" w:themeColor="text1" w:themeTint="F2"/>
          <w:szCs w:val="21"/>
          <w14:textFill>
            <w14:solidFill>
              <w14:schemeClr w14:val="tx1">
                <w14:lumMod w14:val="95000"/>
                <w14:lumOff w14:val="5000"/>
              </w14:schemeClr>
            </w14:solidFill>
          </w14:textFill>
        </w:rPr>
      </w:pPr>
      <w:r>
        <w:rPr>
          <w:b/>
          <w:color w:val="0D0D0D" w:themeColor="text1" w:themeTint="F2"/>
          <w:szCs w:val="21"/>
          <w14:textFill>
            <w14:solidFill>
              <w14:schemeClr w14:val="tx1">
                <w14:lumMod w14:val="95000"/>
                <w14:lumOff w14:val="5000"/>
              </w14:schemeClr>
            </w14:solidFill>
          </w14:textFill>
        </w:rPr>
        <w:t xml:space="preserve">3.0.2 </w:t>
      </w:r>
      <w:r>
        <w:rPr>
          <w:color w:val="0D0D0D" w:themeColor="text1" w:themeTint="F2"/>
          <w:szCs w:val="21"/>
          <w14:textFill>
            <w14:solidFill>
              <w14:schemeClr w14:val="tx1">
                <w14:lumMod w14:val="95000"/>
                <w14:lumOff w14:val="5000"/>
              </w14:schemeClr>
            </w14:solidFill>
          </w14:textFill>
        </w:rPr>
        <w:t>胶结砂砾石的设计龄期为</w:t>
      </w:r>
      <w:r>
        <w:rPr>
          <w:rFonts w:hint="eastAsia"/>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80d。</w:t>
      </w:r>
    </w:p>
    <w:p w14:paraId="775A0E46">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b/>
          <w:color w:val="0D0D0D" w:themeColor="text1" w:themeTint="F2"/>
          <w:szCs w:val="21"/>
          <w14:textFill>
            <w14:solidFill>
              <w14:schemeClr w14:val="tx1">
                <w14:lumMod w14:val="95000"/>
                <w14:lumOff w14:val="5000"/>
              </w14:schemeClr>
            </w14:solidFill>
          </w14:textFill>
        </w:rPr>
        <w:t>3.0.3</w:t>
      </w:r>
      <w:r>
        <w:rPr>
          <w:color w:val="0D0D0D" w:themeColor="text1" w:themeTint="F2"/>
          <w:szCs w:val="21"/>
          <w14:textFill>
            <w14:solidFill>
              <w14:schemeClr w14:val="tx1">
                <w14:lumMod w14:val="95000"/>
                <w14:lumOff w14:val="5000"/>
              </w14:schemeClr>
            </w14:solidFill>
          </w14:textFill>
        </w:rPr>
        <w:t xml:space="preserve"> 胶结砂砾石配合比设计</w:t>
      </w:r>
      <w:r>
        <w:rPr>
          <w:rFonts w:hint="eastAsia"/>
          <w:color w:val="0D0D0D" w:themeColor="text1" w:themeTint="F2"/>
          <w:szCs w:val="21"/>
          <w14:textFill>
            <w14:solidFill>
              <w14:schemeClr w14:val="tx1">
                <w14:lumMod w14:val="95000"/>
                <w14:lumOff w14:val="5000"/>
              </w14:schemeClr>
            </w14:solidFill>
          </w14:textFill>
        </w:rPr>
        <w:t>宜</w:t>
      </w:r>
      <w:r>
        <w:rPr>
          <w:color w:val="0D0D0D" w:themeColor="text1" w:themeTint="F2"/>
          <w:szCs w:val="21"/>
          <w14:textFill>
            <w14:solidFill>
              <w14:schemeClr w14:val="tx1">
                <w14:lumMod w14:val="95000"/>
                <w14:lumOff w14:val="5000"/>
              </w14:schemeClr>
            </w14:solidFill>
          </w14:textFill>
        </w:rPr>
        <w:t>采用绝对体积法</w:t>
      </w:r>
      <w:r>
        <w:rPr>
          <w:rFonts w:hint="eastAsia"/>
          <w:color w:val="0D0D0D" w:themeColor="text1" w:themeTint="F2"/>
          <w:szCs w:val="21"/>
          <w14:textFill>
            <w14:solidFill>
              <w14:schemeClr w14:val="tx1">
                <w14:lumMod w14:val="95000"/>
                <w14:lumOff w14:val="5000"/>
              </w14:schemeClr>
            </w14:solidFill>
          </w14:textFill>
        </w:rPr>
        <w:t>，可采用假定容重法</w:t>
      </w:r>
      <w:r>
        <w:rPr>
          <w:color w:val="0D0D0D" w:themeColor="text1" w:themeTint="F2"/>
          <w:szCs w:val="21"/>
          <w14:textFill>
            <w14:solidFill>
              <w14:schemeClr w14:val="tx1">
                <w14:lumMod w14:val="95000"/>
                <w14:lumOff w14:val="5000"/>
              </w14:schemeClr>
            </w14:solidFill>
          </w14:textFill>
        </w:rPr>
        <w:t>。</w:t>
      </w:r>
    </w:p>
    <w:p w14:paraId="1160B588">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3</w:t>
      </w:r>
      <w:r>
        <w:rPr>
          <w:b/>
          <w:color w:val="0D0D0D" w:themeColor="text1" w:themeTint="F2"/>
          <w:szCs w:val="21"/>
          <w14:textFill>
            <w14:solidFill>
              <w14:schemeClr w14:val="tx1">
                <w14:lumMod w14:val="95000"/>
                <w14:lumOff w14:val="5000"/>
              </w14:schemeClr>
            </w14:solidFill>
          </w14:textFill>
        </w:rPr>
        <w:t>.0.4</w:t>
      </w:r>
      <w:r>
        <w:rPr>
          <w:rFonts w:hint="eastAsia"/>
          <w:color w:val="0D0D0D" w:themeColor="text1" w:themeTint="F2"/>
          <w:szCs w:val="21"/>
          <w14:textFill>
            <w14:solidFill>
              <w14:schemeClr w14:val="tx1">
                <w14:lumMod w14:val="95000"/>
                <w14:lumOff w14:val="5000"/>
              </w14:schemeClr>
            </w14:solidFill>
          </w14:textFill>
        </w:rPr>
        <w:t xml:space="preserve"> 在使用过程中对胶结砂砾石性能指标要求有变化时或胶结砂砾石原材料品种、质量有变化时，应调整或重新进行配合比设计。</w:t>
      </w:r>
    </w:p>
    <w:p w14:paraId="4620E94A">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3.0.</w:t>
      </w:r>
      <w:r>
        <w:rPr>
          <w:b/>
          <w:bCs/>
          <w:color w:val="0D0D0D" w:themeColor="text1" w:themeTint="F2"/>
          <w:szCs w:val="21"/>
          <w14:textFill>
            <w14:solidFill>
              <w14:schemeClr w14:val="tx1">
                <w14:lumMod w14:val="95000"/>
                <w14:lumOff w14:val="5000"/>
              </w14:schemeClr>
            </w14:solidFill>
          </w14:textFill>
        </w:rPr>
        <w:t>5</w:t>
      </w:r>
      <w:r>
        <w:rPr>
          <w:rFonts w:hint="eastAsia"/>
          <w:b/>
          <w:bCs/>
          <w:color w:val="0D0D0D" w:themeColor="text1" w:themeTint="F2"/>
          <w:szCs w:val="21"/>
          <w14:textFill>
            <w14:solidFill>
              <w14:schemeClr w14:val="tx1">
                <w14:lumMod w14:val="95000"/>
                <w14:lumOff w14:val="5000"/>
              </w14:schemeClr>
            </w14:solidFill>
          </w14:textFill>
        </w:rPr>
        <w:t xml:space="preserve"> </w:t>
      </w:r>
      <w:r>
        <w:rPr>
          <w:rFonts w:hint="eastAsia"/>
          <w:bCs/>
          <w:color w:val="0D0D0D" w:themeColor="text1" w:themeTint="F2"/>
          <w:szCs w:val="21"/>
          <w14:textFill>
            <w14:solidFill>
              <w14:schemeClr w14:val="tx1">
                <w14:lumMod w14:val="95000"/>
                <w14:lumOff w14:val="5000"/>
              </w14:schemeClr>
            </w14:solidFill>
          </w14:textFill>
        </w:rPr>
        <w:t>进行</w:t>
      </w:r>
      <w:r>
        <w:rPr>
          <w:rFonts w:hint="eastAsia"/>
          <w:color w:val="0D0D0D" w:themeColor="text1" w:themeTint="F2"/>
          <w:szCs w:val="21"/>
          <w14:textFill>
            <w14:solidFill>
              <w14:schemeClr w14:val="tx1">
                <w14:lumMod w14:val="95000"/>
                <w14:lumOff w14:val="5000"/>
              </w14:schemeClr>
            </w14:solidFill>
          </w14:textFill>
        </w:rPr>
        <w:t>配合比设计时，应收集水泥、掺合料、外加剂、砂砾石料及拌合水等原材料，并按规范的要求进行相关性能检验。</w:t>
      </w:r>
    </w:p>
    <w:p w14:paraId="77A28F46">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 xml:space="preserve">  水泥的品种、强度等级、密度、比表面积等；</w:t>
      </w:r>
    </w:p>
    <w:p w14:paraId="325F7701">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砂</w:t>
      </w:r>
      <w:r>
        <w:rPr>
          <w:color w:val="0D0D0D" w:themeColor="text1" w:themeTint="F2"/>
          <w:szCs w:val="21"/>
          <w14:textFill>
            <w14:solidFill>
              <w14:schemeClr w14:val="tx1">
                <w14:lumMod w14:val="95000"/>
                <w14:lumOff w14:val="5000"/>
              </w14:schemeClr>
            </w14:solidFill>
          </w14:textFill>
        </w:rPr>
        <w:t>砾石岩性、种类、级配、表观密度、吸水率、压碎指标、含泥量、泥块含量等；</w:t>
      </w:r>
    </w:p>
    <w:p w14:paraId="292ABEC7">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 xml:space="preserve">  外加剂种类、品质等；</w:t>
      </w:r>
    </w:p>
    <w:p w14:paraId="67E59FFF">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4</w:t>
      </w:r>
      <w:r>
        <w:rPr>
          <w:color w:val="0D0D0D" w:themeColor="text1" w:themeTint="F2"/>
          <w:szCs w:val="21"/>
          <w14:textFill>
            <w14:solidFill>
              <w14:schemeClr w14:val="tx1">
                <w14:lumMod w14:val="95000"/>
                <w14:lumOff w14:val="5000"/>
              </w14:schemeClr>
            </w14:solidFill>
          </w14:textFill>
        </w:rPr>
        <w:t xml:space="preserve">  掺合料的品种、品质、密度等；</w:t>
      </w:r>
    </w:p>
    <w:p w14:paraId="6F37F351">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w:t>
      </w:r>
      <w:r>
        <w:rPr>
          <w:color w:val="0D0D0D" w:themeColor="text1" w:themeTint="F2"/>
          <w:szCs w:val="21"/>
          <w14:textFill>
            <w14:solidFill>
              <w14:schemeClr w14:val="tx1">
                <w14:lumMod w14:val="95000"/>
                <w14:lumOff w14:val="5000"/>
              </w14:schemeClr>
            </w14:solidFill>
          </w14:textFill>
        </w:rPr>
        <w:t xml:space="preserve">  拌和用水品质。</w:t>
      </w:r>
    </w:p>
    <w:p w14:paraId="0948B6D4">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3</w:t>
      </w:r>
      <w:r>
        <w:rPr>
          <w:b/>
          <w:color w:val="0D0D0D" w:themeColor="text1" w:themeTint="F2"/>
          <w:szCs w:val="21"/>
          <w14:textFill>
            <w14:solidFill>
              <w14:schemeClr w14:val="tx1">
                <w14:lumMod w14:val="95000"/>
                <w14:lumOff w14:val="5000"/>
              </w14:schemeClr>
            </w14:solidFill>
          </w14:textFill>
        </w:rPr>
        <w:t xml:space="preserve">.0.6 </w:t>
      </w:r>
      <w:r>
        <w:rPr>
          <w:color w:val="0D0D0D" w:themeColor="text1" w:themeTint="F2"/>
          <w:szCs w:val="21"/>
          <w14:textFill>
            <w14:solidFill>
              <w14:schemeClr w14:val="tx1">
                <w14:lumMod w14:val="95000"/>
                <w14:lumOff w14:val="5000"/>
              </w14:schemeClr>
            </w14:solidFill>
          </w14:textFill>
        </w:rPr>
        <w:t>进行胶结砂砾石配合比设计时，应明确</w:t>
      </w:r>
      <w:r>
        <w:rPr>
          <w:rFonts w:hint="eastAsia"/>
          <w:color w:val="0D0D0D" w:themeColor="text1" w:themeTint="F2"/>
          <w:szCs w:val="21"/>
          <w14:textFill>
            <w14:solidFill>
              <w14:schemeClr w14:val="tx1">
                <w14:lumMod w14:val="95000"/>
                <w14:lumOff w14:val="5000"/>
              </w14:schemeClr>
            </w14:solidFill>
          </w14:textFill>
        </w:rPr>
        <w:t>下列</w:t>
      </w:r>
      <w:r>
        <w:rPr>
          <w:color w:val="0D0D0D" w:themeColor="text1" w:themeTint="F2"/>
          <w:szCs w:val="21"/>
          <w14:textFill>
            <w14:solidFill>
              <w14:schemeClr w14:val="tx1">
                <w14:lumMod w14:val="95000"/>
                <w14:lumOff w14:val="5000"/>
              </w14:schemeClr>
            </w14:solidFill>
          </w14:textFill>
        </w:rPr>
        <w:t>要求</w:t>
      </w:r>
      <w:r>
        <w:rPr>
          <w:rFonts w:hint="eastAsia"/>
          <w:color w:val="0D0D0D" w:themeColor="text1" w:themeTint="F2"/>
          <w:szCs w:val="21"/>
          <w14:textFill>
            <w14:solidFill>
              <w14:schemeClr w14:val="tx1">
                <w14:lumMod w14:val="95000"/>
                <w14:lumOff w14:val="5000"/>
              </w14:schemeClr>
            </w14:solidFill>
          </w14:textFill>
        </w:rPr>
        <w:t>：</w:t>
      </w:r>
    </w:p>
    <w:p w14:paraId="631FD22F">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胶结砂砾石的强度及保证率。</w:t>
      </w:r>
    </w:p>
    <w:p w14:paraId="5C978401">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胶结砂砾石的抗渗等级、抗冻等级</w:t>
      </w:r>
      <w:r>
        <w:rPr>
          <w:rFonts w:hint="eastAsia"/>
          <w:color w:val="0D0D0D" w:themeColor="text1" w:themeTint="F2"/>
          <w:szCs w:val="21"/>
          <w14:textFill>
            <w14:solidFill>
              <w14:schemeClr w14:val="tx1">
                <w14:lumMod w14:val="95000"/>
                <w14:lumOff w14:val="5000"/>
              </w14:schemeClr>
            </w14:solidFill>
          </w14:textFill>
        </w:rPr>
        <w:t>等。</w:t>
      </w:r>
    </w:p>
    <w:p w14:paraId="5CAD57F1">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胶结砂砾石拌合物的工作性</w:t>
      </w:r>
      <w:r>
        <w:rPr>
          <w:rFonts w:hint="eastAsia"/>
          <w:color w:val="0D0D0D" w:themeColor="text1" w:themeTint="F2"/>
          <w:szCs w:val="21"/>
          <w14:textFill>
            <w14:solidFill>
              <w14:schemeClr w14:val="tx1">
                <w14:lumMod w14:val="95000"/>
                <w14:lumOff w14:val="5000"/>
              </w14:schemeClr>
            </w14:solidFill>
          </w14:textFill>
        </w:rPr>
        <w:t>。</w:t>
      </w:r>
    </w:p>
    <w:p w14:paraId="507E6A07">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4</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砂砾石料</w:t>
      </w:r>
      <w:r>
        <w:rPr>
          <w:color w:val="0D0D0D" w:themeColor="text1" w:themeTint="F2"/>
          <w:szCs w:val="21"/>
          <w14:textFill>
            <w14:solidFill>
              <w14:schemeClr w14:val="tx1">
                <w14:lumMod w14:val="95000"/>
                <w14:lumOff w14:val="5000"/>
              </w14:schemeClr>
            </w14:solidFill>
          </w14:textFill>
        </w:rPr>
        <w:t>最大粒径。</w:t>
      </w:r>
    </w:p>
    <w:p w14:paraId="3C67E923">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其他要求。</w:t>
      </w:r>
    </w:p>
    <w:p w14:paraId="4190154C">
      <w:pPr>
        <w:spacing w:line="360" w:lineRule="auto"/>
        <w:ind w:firstLine="0" w:firstLineChars="0"/>
        <w:rPr>
          <w:color w:val="0D0D0D" w:themeColor="text1" w:themeTint="F2"/>
          <w:szCs w:val="21"/>
          <w14:textFill>
            <w14:solidFill>
              <w14:schemeClr w14:val="tx1">
                <w14:lumMod w14:val="95000"/>
                <w14:lumOff w14:val="5000"/>
              </w14:schemeClr>
            </w14:solidFill>
          </w14:textFill>
        </w:rPr>
      </w:pPr>
    </w:p>
    <w:p w14:paraId="3B9680F7">
      <w:pPr>
        <w:pStyle w:val="2"/>
        <w:spacing w:before="156" w:after="156"/>
        <w:ind w:firstLine="0" w:firstLineChars="0"/>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bookmarkStart w:id="13" w:name="_Toc62293598"/>
      <w:bookmarkStart w:id="14" w:name="_Toc24462792"/>
      <w:bookmarkStart w:id="15" w:name="_Toc24462853"/>
      <w:bookmarkStart w:id="16" w:name="_Toc64733481"/>
    </w:p>
    <w:bookmarkEnd w:id="13"/>
    <w:bookmarkEnd w:id="14"/>
    <w:bookmarkEnd w:id="15"/>
    <w:p w14:paraId="0C66D163">
      <w:pPr>
        <w:pStyle w:val="2"/>
        <w:spacing w:before="156" w:after="156"/>
        <w:ind w:firstLine="0" w:firstLineChars="0"/>
        <w:rPr>
          <w:color w:val="0D0D0D" w:themeColor="text1" w:themeTint="F2"/>
          <w14:textFill>
            <w14:solidFill>
              <w14:schemeClr w14:val="tx1">
                <w14:lumMod w14:val="95000"/>
                <w14:lumOff w14:val="5000"/>
              </w14:schemeClr>
            </w14:solidFill>
          </w14:textFill>
        </w:rPr>
      </w:pPr>
      <w:bookmarkStart w:id="17" w:name="_Toc199246892"/>
      <w:bookmarkStart w:id="18" w:name="_Toc199247349"/>
      <w:r>
        <w:rPr>
          <w:rFonts w:hint="eastAsia"/>
          <w:color w:val="0D0D0D" w:themeColor="text1" w:themeTint="F2"/>
          <w14:textFill>
            <w14:solidFill>
              <w14:schemeClr w14:val="tx1">
                <w14:lumMod w14:val="95000"/>
                <w14:lumOff w14:val="5000"/>
              </w14:schemeClr>
            </w14:solidFill>
          </w14:textFill>
        </w:rPr>
        <w:t xml:space="preserve">4 </w:t>
      </w:r>
      <w:r>
        <w:rPr>
          <w:color w:val="0D0D0D" w:themeColor="text1" w:themeTint="F2"/>
          <w14:textFill>
            <w14:solidFill>
              <w14:schemeClr w14:val="tx1">
                <w14:lumMod w14:val="95000"/>
                <w14:lumOff w14:val="5000"/>
              </w14:schemeClr>
            </w14:solidFill>
          </w14:textFill>
        </w:rPr>
        <w:t>配制强度的确定</w:t>
      </w:r>
      <w:bookmarkEnd w:id="16"/>
      <w:bookmarkEnd w:id="17"/>
      <w:bookmarkEnd w:id="18"/>
    </w:p>
    <w:p w14:paraId="1144029D">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4</w:t>
      </w:r>
      <w:r>
        <w:rPr>
          <w:b/>
          <w:color w:val="0D0D0D" w:themeColor="text1" w:themeTint="F2"/>
          <w:szCs w:val="21"/>
          <w14:textFill>
            <w14:solidFill>
              <w14:schemeClr w14:val="tx1">
                <w14:lumMod w14:val="95000"/>
                <w14:lumOff w14:val="5000"/>
              </w14:schemeClr>
            </w14:solidFill>
          </w14:textFill>
        </w:rPr>
        <w:t>.0.1</w:t>
      </w:r>
      <w:r>
        <w:rPr>
          <w:snapToGrid w:val="0"/>
          <w:color w:val="0D0D0D" w:themeColor="text1" w:themeTint="F2"/>
          <w:kern w:val="0"/>
          <w:szCs w:val="24"/>
          <w14:textFill>
            <w14:solidFill>
              <w14:schemeClr w14:val="tx1">
                <w14:lumMod w14:val="95000"/>
                <w14:lumOff w14:val="5000"/>
              </w14:schemeClr>
            </w14:solidFill>
          </w14:textFill>
        </w:rPr>
        <w:t xml:space="preserve">  胶结砂砾石设计龄期立方体抗压强度标准值系指按照标准方法制作和养护的边长为150mm的立方体试件，在设计龄期用标准试验方法测得的具有设计保证率的抗压强度，以MPa计。</w:t>
      </w:r>
    </w:p>
    <w:p w14:paraId="7924EEE3">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4</w:t>
      </w:r>
      <w:r>
        <w:rPr>
          <w:b/>
          <w:color w:val="0D0D0D" w:themeColor="text1" w:themeTint="F2"/>
          <w:szCs w:val="21"/>
          <w14:textFill>
            <w14:solidFill>
              <w14:schemeClr w14:val="tx1">
                <w14:lumMod w14:val="95000"/>
                <w14:lumOff w14:val="5000"/>
              </w14:schemeClr>
            </w14:solidFill>
          </w14:textFill>
        </w:rPr>
        <w:t>.0.2</w:t>
      </w:r>
      <w:r>
        <w:rPr>
          <w:snapToGrid w:val="0"/>
          <w:color w:val="0D0D0D" w:themeColor="text1" w:themeTint="F2"/>
          <w:kern w:val="0"/>
          <w:szCs w:val="24"/>
          <w14:textFill>
            <w14:solidFill>
              <w14:schemeClr w14:val="tx1">
                <w14:lumMod w14:val="95000"/>
                <w14:lumOff w14:val="5000"/>
              </w14:schemeClr>
            </w14:solidFill>
          </w14:textFill>
        </w:rPr>
        <w:t xml:space="preserve">  胶结砂砾石配制强度按</w:t>
      </w:r>
      <w:r>
        <w:rPr>
          <w:bCs/>
          <w:snapToGrid w:val="0"/>
          <w:color w:val="0D0D0D" w:themeColor="text1" w:themeTint="F2"/>
          <w:kern w:val="0"/>
          <w:szCs w:val="24"/>
          <w14:textFill>
            <w14:solidFill>
              <w14:schemeClr w14:val="tx1">
                <w14:lumMod w14:val="95000"/>
                <w14:lumOff w14:val="5000"/>
              </w14:schemeClr>
            </w14:solidFill>
          </w14:textFill>
        </w:rPr>
        <w:t>公式</w:t>
      </w:r>
      <w:r>
        <w:rPr>
          <w:snapToGrid w:val="0"/>
          <w:color w:val="0D0D0D" w:themeColor="text1" w:themeTint="F2"/>
          <w:kern w:val="0"/>
          <w:szCs w:val="24"/>
          <w14:textFill>
            <w14:solidFill>
              <w14:schemeClr w14:val="tx1">
                <w14:lumMod w14:val="95000"/>
                <w14:lumOff w14:val="5000"/>
              </w14:schemeClr>
            </w14:solidFill>
          </w14:textFill>
        </w:rPr>
        <w:t>(</w:t>
      </w:r>
      <w:r>
        <w:rPr>
          <w:rFonts w:hint="eastAsia"/>
          <w:snapToGrid w:val="0"/>
          <w:color w:val="0D0D0D" w:themeColor="text1" w:themeTint="F2"/>
          <w:kern w:val="0"/>
          <w:szCs w:val="24"/>
          <w14:textFill>
            <w14:solidFill>
              <w14:schemeClr w14:val="tx1">
                <w14:lumMod w14:val="95000"/>
                <w14:lumOff w14:val="5000"/>
              </w14:schemeClr>
            </w14:solidFill>
          </w14:textFill>
        </w:rPr>
        <w:t>4</w:t>
      </w:r>
      <w:r>
        <w:rPr>
          <w:snapToGrid w:val="0"/>
          <w:color w:val="0D0D0D" w:themeColor="text1" w:themeTint="F2"/>
          <w:kern w:val="0"/>
          <w:szCs w:val="24"/>
          <w14:textFill>
            <w14:solidFill>
              <w14:schemeClr w14:val="tx1">
                <w14:lumMod w14:val="95000"/>
                <w14:lumOff w14:val="5000"/>
              </w14:schemeClr>
            </w14:solidFill>
          </w14:textFill>
        </w:rPr>
        <w:t>.0.2)计算：</w:t>
      </w:r>
    </w:p>
    <w:p w14:paraId="18ED80F7">
      <w:pPr>
        <w:ind w:firstLine="420"/>
        <w:jc w:val="right"/>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position w:val="-14"/>
          <w:szCs w:val="24"/>
          <w14:textFill>
            <w14:solidFill>
              <w14:schemeClr w14:val="tx1">
                <w14:lumMod w14:val="95000"/>
                <w14:lumOff w14:val="5000"/>
              </w14:schemeClr>
            </w14:solidFill>
          </w14:textFill>
        </w:rPr>
        <w:drawing>
          <wp:inline distT="0" distB="0" distL="0" distR="0">
            <wp:extent cx="103568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35685" cy="238125"/>
                    </a:xfrm>
                    <a:prstGeom prst="rect">
                      <a:avLst/>
                    </a:prstGeom>
                    <a:noFill/>
                    <a:ln>
                      <a:noFill/>
                    </a:ln>
                  </pic:spPr>
                </pic:pic>
              </a:graphicData>
            </a:graphic>
          </wp:inline>
        </w:drawing>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4</w:t>
      </w:r>
      <w:r>
        <w:rPr>
          <w:snapToGrid w:val="0"/>
          <w:color w:val="0D0D0D" w:themeColor="text1" w:themeTint="F2"/>
          <w:kern w:val="0"/>
          <w:szCs w:val="24"/>
          <w14:textFill>
            <w14:solidFill>
              <w14:schemeClr w14:val="tx1">
                <w14:lumMod w14:val="95000"/>
                <w14:lumOff w14:val="5000"/>
              </w14:schemeClr>
            </w14:solidFill>
          </w14:textFill>
        </w:rPr>
        <w:t>.0.2)</w:t>
      </w:r>
    </w:p>
    <w:p w14:paraId="4BB43356">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snapToGrid w:val="0"/>
          <w:color w:val="0D0D0D" w:themeColor="text1" w:themeTint="F2"/>
          <w:kern w:val="0"/>
          <w:szCs w:val="24"/>
          <w14:textFill>
            <w14:solidFill>
              <w14:schemeClr w14:val="tx1">
                <w14:lumMod w14:val="95000"/>
                <w14:lumOff w14:val="5000"/>
              </w14:schemeClr>
            </w14:solidFill>
          </w14:textFill>
        </w:rPr>
        <w:t>式中：</w:t>
      </w: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cu,0</w:t>
      </w:r>
      <w:r>
        <w:rPr>
          <w:i/>
          <w:iCs/>
          <w:snapToGrid w:val="0"/>
          <w:color w:val="0D0D0D" w:themeColor="text1" w:themeTint="F2"/>
          <w:kern w:val="0"/>
          <w:szCs w:val="24"/>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胶结砂砾石配制强度，MPa；</w:t>
      </w:r>
    </w:p>
    <w:p w14:paraId="5B2252D7">
      <w:pPr>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cu,k</w:t>
      </w:r>
      <w:r>
        <w:rPr>
          <w:i/>
          <w:iCs/>
          <w:snapToGrid w:val="0"/>
          <w:color w:val="0D0D0D" w:themeColor="text1" w:themeTint="F2"/>
          <w:kern w:val="0"/>
          <w:szCs w:val="24"/>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胶结砂砾石设计龄期的</w:t>
      </w:r>
      <w:r>
        <w:rPr>
          <w:rFonts w:hint="eastAsia"/>
          <w:snapToGrid w:val="0"/>
          <w:color w:val="0D0D0D" w:themeColor="text1" w:themeTint="F2"/>
          <w:kern w:val="0"/>
          <w:szCs w:val="24"/>
          <w14:textFill>
            <w14:solidFill>
              <w14:schemeClr w14:val="tx1">
                <w14:lumMod w14:val="95000"/>
                <w14:lumOff w14:val="5000"/>
              </w14:schemeClr>
            </w14:solidFill>
          </w14:textFill>
        </w:rPr>
        <w:t>立方体</w:t>
      </w:r>
      <w:r>
        <w:rPr>
          <w:snapToGrid w:val="0"/>
          <w:color w:val="0D0D0D" w:themeColor="text1" w:themeTint="F2"/>
          <w:kern w:val="0"/>
          <w:szCs w:val="24"/>
          <w14:textFill>
            <w14:solidFill>
              <w14:schemeClr w14:val="tx1">
                <w14:lumMod w14:val="95000"/>
                <w14:lumOff w14:val="5000"/>
              </w14:schemeClr>
            </w14:solidFill>
          </w14:textFill>
        </w:rPr>
        <w:t>抗压强度标准值，MPa；</w:t>
      </w:r>
    </w:p>
    <w:p w14:paraId="4ED0F1D3">
      <w:pPr>
        <w:ind w:firstLine="840" w:firstLineChars="40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 xml:space="preserve">t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保证率系数，</w:t>
      </w:r>
      <w:r>
        <w:rPr>
          <w:rFonts w:hint="eastAsia"/>
          <w:snapToGrid w:val="0"/>
          <w:color w:val="0D0D0D" w:themeColor="text1" w:themeTint="F2"/>
          <w:kern w:val="0"/>
          <w:szCs w:val="24"/>
          <w14:textFill>
            <w14:solidFill>
              <w14:schemeClr w14:val="tx1">
                <w14:lumMod w14:val="95000"/>
                <w14:lumOff w14:val="5000"/>
              </w14:schemeClr>
            </w14:solidFill>
          </w14:textFill>
        </w:rPr>
        <w:t>依据</w:t>
      </w:r>
      <w:r>
        <w:rPr>
          <w:snapToGrid w:val="0"/>
          <w:color w:val="0D0D0D" w:themeColor="text1" w:themeTint="F2"/>
          <w:kern w:val="0"/>
          <w:szCs w:val="24"/>
          <w14:textFill>
            <w14:solidFill>
              <w14:schemeClr w14:val="tx1">
                <w14:lumMod w14:val="95000"/>
                <w14:lumOff w14:val="5000"/>
              </w14:schemeClr>
            </w14:solidFill>
          </w14:textFill>
        </w:rPr>
        <w:t>保证率</w:t>
      </w:r>
      <w:r>
        <w:rPr>
          <w:i/>
          <w:iCs/>
          <w:snapToGrid w:val="0"/>
          <w:color w:val="0D0D0D" w:themeColor="text1" w:themeTint="F2"/>
          <w:kern w:val="0"/>
          <w:szCs w:val="24"/>
          <w14:textFill>
            <w14:solidFill>
              <w14:schemeClr w14:val="tx1">
                <w14:lumMod w14:val="95000"/>
                <w14:lumOff w14:val="5000"/>
              </w14:schemeClr>
            </w14:solidFill>
          </w14:textFill>
        </w:rPr>
        <w:t>P</w:t>
      </w:r>
      <w:r>
        <w:rPr>
          <w:snapToGrid w:val="0"/>
          <w:color w:val="0D0D0D" w:themeColor="text1" w:themeTint="F2"/>
          <w:kern w:val="0"/>
          <w:szCs w:val="24"/>
          <w14:textFill>
            <w14:solidFill>
              <w14:schemeClr w14:val="tx1">
                <w14:lumMod w14:val="95000"/>
                <w14:lumOff w14:val="5000"/>
              </w14:schemeClr>
            </w14:solidFill>
          </w14:textFill>
        </w:rPr>
        <w:t>选定，</w:t>
      </w:r>
      <w:r>
        <w:rPr>
          <w:rFonts w:hint="eastAsia"/>
          <w:snapToGrid w:val="0"/>
          <w:color w:val="0D0D0D" w:themeColor="text1" w:themeTint="F2"/>
          <w:kern w:val="0"/>
          <w:szCs w:val="24"/>
          <w14:textFill>
            <w14:solidFill>
              <w14:schemeClr w14:val="tx1">
                <w14:lumMod w14:val="95000"/>
                <w14:lumOff w14:val="5000"/>
              </w14:schemeClr>
            </w14:solidFill>
          </w14:textFill>
        </w:rPr>
        <w:t>当P为80%时，其值为0.84</w:t>
      </w:r>
      <w:r>
        <w:rPr>
          <w:snapToGrid w:val="0"/>
          <w:color w:val="0D0D0D" w:themeColor="text1" w:themeTint="F2"/>
          <w:kern w:val="0"/>
          <w:szCs w:val="24"/>
          <w14:textFill>
            <w14:solidFill>
              <w14:schemeClr w14:val="tx1">
                <w14:lumMod w14:val="95000"/>
                <w14:lumOff w14:val="5000"/>
              </w14:schemeClr>
            </w14:solidFill>
          </w14:textFill>
        </w:rPr>
        <w:t>；</w:t>
      </w:r>
    </w:p>
    <w:p w14:paraId="40D9FED3">
      <w:pPr>
        <w:ind w:firstLine="840" w:firstLineChars="40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 xml:space="preserve">σ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胶结砂砾石抗压强度标准差，MPa。</w:t>
      </w:r>
    </w:p>
    <w:p w14:paraId="57839253">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4</w:t>
      </w:r>
      <w:r>
        <w:rPr>
          <w:b/>
          <w:color w:val="0D0D0D" w:themeColor="text1" w:themeTint="F2"/>
          <w:szCs w:val="21"/>
          <w14:textFill>
            <w14:solidFill>
              <w14:schemeClr w14:val="tx1">
                <w14:lumMod w14:val="95000"/>
                <w14:lumOff w14:val="5000"/>
              </w14:schemeClr>
            </w14:solidFill>
          </w14:textFill>
        </w:rPr>
        <w:t>.0.3</w:t>
      </w:r>
      <w:r>
        <w:rPr>
          <w:snapToGrid w:val="0"/>
          <w:color w:val="0D0D0D" w:themeColor="text1" w:themeTint="F2"/>
          <w:kern w:val="0"/>
          <w:szCs w:val="24"/>
          <w14:textFill>
            <w14:solidFill>
              <w14:schemeClr w14:val="tx1">
                <w14:lumMod w14:val="95000"/>
                <w14:lumOff w14:val="5000"/>
              </w14:schemeClr>
            </w14:solidFill>
          </w14:textFill>
        </w:rPr>
        <w:t xml:space="preserve"> 胶结砂砾石抗压强度标准差</w:t>
      </w:r>
      <w:r>
        <w:rPr>
          <w:i/>
          <w:iCs/>
          <w:snapToGrid w:val="0"/>
          <w:color w:val="0D0D0D" w:themeColor="text1" w:themeTint="F2"/>
          <w:kern w:val="0"/>
          <w:szCs w:val="24"/>
          <w14:textFill>
            <w14:solidFill>
              <w14:schemeClr w14:val="tx1">
                <w14:lumMod w14:val="95000"/>
                <w14:lumOff w14:val="5000"/>
              </w14:schemeClr>
            </w14:solidFill>
          </w14:textFill>
        </w:rPr>
        <w:t>σ</w:t>
      </w:r>
      <w:r>
        <w:rPr>
          <w:snapToGrid w:val="0"/>
          <w:color w:val="0D0D0D" w:themeColor="text1" w:themeTint="F2"/>
          <w:kern w:val="0"/>
          <w:szCs w:val="24"/>
          <w14:textFill>
            <w14:solidFill>
              <w14:schemeClr w14:val="tx1">
                <w14:lumMod w14:val="95000"/>
                <w14:lumOff w14:val="5000"/>
              </w14:schemeClr>
            </w14:solidFill>
          </w14:textFill>
        </w:rPr>
        <w:t>，宜按同品种胶结砂砾石抗压强度统计资料确定。</w:t>
      </w:r>
    </w:p>
    <w:p w14:paraId="6D915C15">
      <w:pPr>
        <w:ind w:firstLine="422"/>
        <w:rPr>
          <w:snapToGrid w:val="0"/>
          <w:color w:val="0D0D0D" w:themeColor="text1" w:themeTint="F2"/>
          <w:kern w:val="0"/>
          <w:szCs w:val="24"/>
          <w14:textFill>
            <w14:solidFill>
              <w14:schemeClr w14:val="tx1">
                <w14:lumMod w14:val="95000"/>
                <w14:lumOff w14:val="5000"/>
              </w14:schemeClr>
            </w14:solidFill>
          </w14:textFill>
        </w:rPr>
      </w:pPr>
      <w:r>
        <w:rPr>
          <w:b/>
          <w:bCs/>
          <w:snapToGrid w:val="0"/>
          <w:color w:val="0D0D0D" w:themeColor="text1" w:themeTint="F2"/>
          <w:kern w:val="0"/>
          <w:szCs w:val="24"/>
          <w14:textFill>
            <w14:solidFill>
              <w14:schemeClr w14:val="tx1">
                <w14:lumMod w14:val="95000"/>
                <w14:lumOff w14:val="5000"/>
              </w14:schemeClr>
            </w14:solidFill>
          </w14:textFill>
        </w:rPr>
        <w:t>1</w:t>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统计时，胶结砂砾石抗压强度试件总数应不少于30组；</w:t>
      </w:r>
    </w:p>
    <w:p w14:paraId="7C8691FA">
      <w:pPr>
        <w:ind w:firstLine="422"/>
        <w:rPr>
          <w:snapToGrid w:val="0"/>
          <w:color w:val="0D0D0D" w:themeColor="text1" w:themeTint="F2"/>
          <w:kern w:val="0"/>
          <w:szCs w:val="24"/>
          <w14:textFill>
            <w14:solidFill>
              <w14:schemeClr w14:val="tx1">
                <w14:lumMod w14:val="95000"/>
                <w14:lumOff w14:val="5000"/>
              </w14:schemeClr>
            </w14:solidFill>
          </w14:textFill>
        </w:rPr>
      </w:pPr>
      <w:r>
        <w:rPr>
          <w:b/>
          <w:bCs/>
          <w:snapToGrid w:val="0"/>
          <w:color w:val="0D0D0D" w:themeColor="text1" w:themeTint="F2"/>
          <w:kern w:val="0"/>
          <w:szCs w:val="24"/>
          <w14:textFill>
            <w14:solidFill>
              <w14:schemeClr w14:val="tx1">
                <w14:lumMod w14:val="95000"/>
                <w14:lumOff w14:val="5000"/>
              </w14:schemeClr>
            </w14:solidFill>
          </w14:textFill>
        </w:rPr>
        <w:t>2</w:t>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根据近</w:t>
      </w:r>
      <w:r>
        <w:rPr>
          <w:rFonts w:hint="eastAsia"/>
          <w:snapToGrid w:val="0"/>
          <w:color w:val="0D0D0D" w:themeColor="text1" w:themeTint="F2"/>
          <w:kern w:val="0"/>
          <w:szCs w:val="24"/>
          <w14:textFill>
            <w14:solidFill>
              <w14:schemeClr w14:val="tx1">
                <w14:lumMod w14:val="95000"/>
                <w14:lumOff w14:val="5000"/>
              </w14:schemeClr>
            </w14:solidFill>
          </w14:textFill>
        </w:rPr>
        <w:t>三个月同</w:t>
      </w:r>
      <w:r>
        <w:rPr>
          <w:snapToGrid w:val="0"/>
          <w:color w:val="0D0D0D" w:themeColor="text1" w:themeTint="F2"/>
          <w:kern w:val="0"/>
          <w:szCs w:val="24"/>
          <w14:textFill>
            <w14:solidFill>
              <w14:schemeClr w14:val="tx1">
                <w14:lumMod w14:val="95000"/>
                <w14:lumOff w14:val="5000"/>
              </w14:schemeClr>
            </w14:solidFill>
          </w14:textFill>
        </w:rPr>
        <w:t>一强度等级、生产工艺基本相同的胶结砂砾石抗压强度资料，胶结砂砾石抗压强度标准差</w:t>
      </w:r>
      <w:r>
        <w:rPr>
          <w:i/>
          <w:iCs/>
          <w:snapToGrid w:val="0"/>
          <w:color w:val="0D0D0D" w:themeColor="text1" w:themeTint="F2"/>
          <w:kern w:val="0"/>
          <w:szCs w:val="24"/>
          <w14:textFill>
            <w14:solidFill>
              <w14:schemeClr w14:val="tx1">
                <w14:lumMod w14:val="95000"/>
                <w14:lumOff w14:val="5000"/>
              </w14:schemeClr>
            </w14:solidFill>
          </w14:textFill>
        </w:rPr>
        <w:t>σ</w:t>
      </w:r>
      <w:r>
        <w:rPr>
          <w:snapToGrid w:val="0"/>
          <w:color w:val="0D0D0D" w:themeColor="text1" w:themeTint="F2"/>
          <w:kern w:val="0"/>
          <w:szCs w:val="24"/>
          <w14:textFill>
            <w14:solidFill>
              <w14:schemeClr w14:val="tx1">
                <w14:lumMod w14:val="95000"/>
                <w14:lumOff w14:val="5000"/>
              </w14:schemeClr>
            </w14:solidFill>
          </w14:textFill>
        </w:rPr>
        <w:t>按</w:t>
      </w:r>
      <w:r>
        <w:rPr>
          <w:bCs/>
          <w:snapToGrid w:val="0"/>
          <w:color w:val="0D0D0D" w:themeColor="text1" w:themeTint="F2"/>
          <w:kern w:val="0"/>
          <w:szCs w:val="24"/>
          <w14:textFill>
            <w14:solidFill>
              <w14:schemeClr w14:val="tx1">
                <w14:lumMod w14:val="95000"/>
                <w14:lumOff w14:val="5000"/>
              </w14:schemeClr>
            </w14:solidFill>
          </w14:textFill>
        </w:rPr>
        <w:t>公式</w:t>
      </w:r>
      <w:r>
        <w:rPr>
          <w:snapToGrid w:val="0"/>
          <w:color w:val="0D0D0D" w:themeColor="text1" w:themeTint="F2"/>
          <w:kern w:val="0"/>
          <w:szCs w:val="24"/>
          <w14:textFill>
            <w14:solidFill>
              <w14:schemeClr w14:val="tx1">
                <w14:lumMod w14:val="95000"/>
                <w14:lumOff w14:val="5000"/>
              </w14:schemeClr>
            </w14:solidFill>
          </w14:textFill>
        </w:rPr>
        <w:t>（</w:t>
      </w:r>
      <w:r>
        <w:rPr>
          <w:rFonts w:hint="eastAsia"/>
          <w:snapToGrid w:val="0"/>
          <w:color w:val="0D0D0D" w:themeColor="text1" w:themeTint="F2"/>
          <w:kern w:val="0"/>
          <w:szCs w:val="24"/>
          <w14:textFill>
            <w14:solidFill>
              <w14:schemeClr w14:val="tx1">
                <w14:lumMod w14:val="95000"/>
                <w14:lumOff w14:val="5000"/>
              </w14:schemeClr>
            </w14:solidFill>
          </w14:textFill>
        </w:rPr>
        <w:t>4</w:t>
      </w:r>
      <w:r>
        <w:rPr>
          <w:snapToGrid w:val="0"/>
          <w:color w:val="0D0D0D" w:themeColor="text1" w:themeTint="F2"/>
          <w:kern w:val="0"/>
          <w:szCs w:val="24"/>
          <w14:textFill>
            <w14:solidFill>
              <w14:schemeClr w14:val="tx1">
                <w14:lumMod w14:val="95000"/>
                <w14:lumOff w14:val="5000"/>
              </w14:schemeClr>
            </w14:solidFill>
          </w14:textFill>
        </w:rPr>
        <w:t>.0.3）计算：</w:t>
      </w:r>
    </w:p>
    <w:p w14:paraId="519B29DE">
      <w:pPr>
        <w:ind w:right="-38" w:firstLine="420"/>
        <w:jc w:val="right"/>
        <w:rPr>
          <w:snapToGrid w:val="0"/>
          <w:color w:val="0D0D0D" w:themeColor="text1" w:themeTint="F2"/>
          <w:kern w:val="0"/>
          <w:szCs w:val="24"/>
          <w14:textFill>
            <w14:solidFill>
              <w14:schemeClr w14:val="tx1">
                <w14:lumMod w14:val="95000"/>
                <w14:lumOff w14:val="5000"/>
              </w14:schemeClr>
            </w14:solidFill>
          </w14:textFill>
        </w:rPr>
      </w:pPr>
      <w:r>
        <w:rPr>
          <w:snapToGrid w:val="0"/>
          <w:color w:val="0D0D0D" w:themeColor="text1" w:themeTint="F2"/>
          <w:kern w:val="0"/>
          <w:position w:val="-24"/>
          <w:szCs w:val="24"/>
          <w14:textFill>
            <w14:solidFill>
              <w14:schemeClr w14:val="tx1">
                <w14:lumMod w14:val="95000"/>
                <w14:lumOff w14:val="5000"/>
              </w14:schemeClr>
            </w14:solidFill>
          </w14:textFill>
        </w:rPr>
        <w:drawing>
          <wp:inline distT="0" distB="0" distL="0" distR="0">
            <wp:extent cx="1273810" cy="644525"/>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273810" cy="644525"/>
                    </a:xfrm>
                    <a:prstGeom prst="rect">
                      <a:avLst/>
                    </a:prstGeom>
                    <a:noFill/>
                    <a:ln>
                      <a:noFill/>
                    </a:ln>
                  </pic:spPr>
                </pic:pic>
              </a:graphicData>
            </a:graphic>
          </wp:inline>
        </w:drawing>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4</w:t>
      </w:r>
      <w:r>
        <w:rPr>
          <w:snapToGrid w:val="0"/>
          <w:color w:val="0D0D0D" w:themeColor="text1" w:themeTint="F2"/>
          <w:kern w:val="0"/>
          <w:szCs w:val="24"/>
          <w14:textFill>
            <w14:solidFill>
              <w14:schemeClr w14:val="tx1">
                <w14:lumMod w14:val="95000"/>
                <w14:lumOff w14:val="5000"/>
              </w14:schemeClr>
            </w14:solidFill>
          </w14:textFill>
        </w:rPr>
        <w:t>.0.3)</w:t>
      </w:r>
    </w:p>
    <w:p w14:paraId="613F0953">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iCs/>
          <w:snapToGrid w:val="0"/>
          <w:color w:val="0D0D0D" w:themeColor="text1" w:themeTint="F2"/>
          <w:kern w:val="0"/>
          <w:szCs w:val="24"/>
          <w14:textFill>
            <w14:solidFill>
              <w14:schemeClr w14:val="tx1">
                <w14:lumMod w14:val="95000"/>
                <w14:lumOff w14:val="5000"/>
              </w14:schemeClr>
            </w14:solidFill>
          </w14:textFill>
        </w:rPr>
        <w:t>式中：</w:t>
      </w: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cu,i</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第</w:t>
      </w:r>
      <w:r>
        <w:rPr>
          <w:i/>
          <w:iCs/>
          <w:snapToGrid w:val="0"/>
          <w:color w:val="0D0D0D" w:themeColor="text1" w:themeTint="F2"/>
          <w:kern w:val="0"/>
          <w:szCs w:val="24"/>
          <w14:textFill>
            <w14:solidFill>
              <w14:schemeClr w14:val="tx1">
                <w14:lumMod w14:val="95000"/>
                <w14:lumOff w14:val="5000"/>
              </w14:schemeClr>
            </w14:solidFill>
          </w14:textFill>
        </w:rPr>
        <w:t>i</w:t>
      </w:r>
      <w:r>
        <w:rPr>
          <w:snapToGrid w:val="0"/>
          <w:color w:val="0D0D0D" w:themeColor="text1" w:themeTint="F2"/>
          <w:kern w:val="0"/>
          <w:szCs w:val="24"/>
          <w14:textFill>
            <w14:solidFill>
              <w14:schemeClr w14:val="tx1">
                <w14:lumMod w14:val="95000"/>
                <w14:lumOff w14:val="5000"/>
              </w14:schemeClr>
            </w14:solidFill>
          </w14:textFill>
        </w:rPr>
        <w:t>组试件抗压强度，MPa；</w:t>
      </w:r>
    </w:p>
    <w:p w14:paraId="4A558DCB">
      <w:pPr>
        <w:ind w:firstLine="619" w:firstLineChars="295"/>
        <w:rPr>
          <w:snapToGrid w:val="0"/>
          <w:color w:val="0D0D0D" w:themeColor="text1" w:themeTint="F2"/>
          <w:kern w:val="0"/>
          <w:szCs w:val="24"/>
          <w14:textFill>
            <w14:solidFill>
              <w14:schemeClr w14:val="tx1">
                <w14:lumMod w14:val="95000"/>
                <w14:lumOff w14:val="5000"/>
              </w14:schemeClr>
            </w14:solidFill>
          </w14:textFill>
        </w:rPr>
      </w:pPr>
      <w:r>
        <w:rPr>
          <w:snapToGrid w:val="0"/>
          <w:color w:val="0D0D0D" w:themeColor="text1" w:themeTint="F2"/>
          <w:kern w:val="0"/>
          <w:position w:val="-14"/>
          <w:szCs w:val="24"/>
          <w14:textFill>
            <w14:solidFill>
              <w14:schemeClr w14:val="tx1">
                <w14:lumMod w14:val="95000"/>
                <w14:lumOff w14:val="5000"/>
              </w14:schemeClr>
            </w14:solidFill>
          </w14:textFill>
        </w:rPr>
        <w:drawing>
          <wp:inline distT="0" distB="0" distL="0" distR="0">
            <wp:extent cx="269875" cy="216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9875" cy="216535"/>
                    </a:xfrm>
                    <a:prstGeom prst="rect">
                      <a:avLst/>
                    </a:prstGeom>
                    <a:noFill/>
                    <a:ln>
                      <a:noFill/>
                    </a:ln>
                  </pic:spPr>
                </pic:pic>
              </a:graphicData>
            </a:graphic>
          </wp:inline>
        </w:drawing>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w:t>
      </w:r>
      <w:r>
        <w:rPr>
          <w:i/>
          <w:iCs/>
          <w:snapToGrid w:val="0"/>
          <w:color w:val="0D0D0D" w:themeColor="text1" w:themeTint="F2"/>
          <w:kern w:val="0"/>
          <w:szCs w:val="24"/>
          <w14:textFill>
            <w14:solidFill>
              <w14:schemeClr w14:val="tx1">
                <w14:lumMod w14:val="95000"/>
                <w14:lumOff w14:val="5000"/>
              </w14:schemeClr>
            </w14:solidFill>
          </w14:textFill>
        </w:rPr>
        <w:t>n</w:t>
      </w:r>
      <w:r>
        <w:rPr>
          <w:snapToGrid w:val="0"/>
          <w:color w:val="0D0D0D" w:themeColor="text1" w:themeTint="F2"/>
          <w:kern w:val="0"/>
          <w:szCs w:val="24"/>
          <w14:textFill>
            <w14:solidFill>
              <w14:schemeClr w14:val="tx1">
                <w14:lumMod w14:val="95000"/>
                <w14:lumOff w14:val="5000"/>
              </w14:schemeClr>
            </w14:solidFill>
          </w14:textFill>
        </w:rPr>
        <w:t>组试件的抗压强度平均值，MPa；</w:t>
      </w:r>
    </w:p>
    <w:p w14:paraId="4F2D7A04">
      <w:pPr>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iCs/>
          <w:snapToGrid w:val="0"/>
          <w:color w:val="0D0D0D" w:themeColor="text1" w:themeTint="F2"/>
          <w:kern w:val="0"/>
          <w:szCs w:val="24"/>
          <w14:textFill>
            <w14:solidFill>
              <w14:schemeClr w14:val="tx1">
                <w14:lumMod w14:val="95000"/>
                <w14:lumOff w14:val="5000"/>
              </w14:schemeClr>
            </w14:solidFill>
          </w14:textFill>
        </w:rPr>
        <w:t xml:space="preserve">n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snapToGrid w:val="0"/>
          <w:color w:val="0D0D0D" w:themeColor="text1" w:themeTint="F2"/>
          <w:kern w:val="0"/>
          <w:szCs w:val="24"/>
          <w14:textFill>
            <w14:solidFill>
              <w14:schemeClr w14:val="tx1">
                <w14:lumMod w14:val="95000"/>
                <w14:lumOff w14:val="5000"/>
              </w14:schemeClr>
            </w14:solidFill>
          </w14:textFill>
        </w:rPr>
        <w:t xml:space="preserve"> 试件组数。</w:t>
      </w:r>
    </w:p>
    <w:p w14:paraId="373E047D">
      <w:pPr>
        <w:ind w:right="-38" w:firstLine="422"/>
        <w:rPr>
          <w:snapToGrid w:val="0"/>
          <w:color w:val="0D0D0D" w:themeColor="text1" w:themeTint="F2"/>
          <w:kern w:val="0"/>
          <w:szCs w:val="24"/>
          <w14:textFill>
            <w14:solidFill>
              <w14:schemeClr w14:val="tx1">
                <w14:lumMod w14:val="95000"/>
                <w14:lumOff w14:val="5000"/>
              </w14:schemeClr>
            </w14:solidFill>
          </w14:textFill>
        </w:rPr>
      </w:pPr>
      <w:r>
        <w:rPr>
          <w:rFonts w:hint="eastAsia"/>
          <w:b/>
          <w:bCs/>
          <w:snapToGrid w:val="0"/>
          <w:color w:val="0D0D0D" w:themeColor="text1" w:themeTint="F2"/>
          <w:kern w:val="0"/>
          <w:szCs w:val="24"/>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计算配制强度用的标准差应不小于</w:t>
      </w:r>
      <w:r>
        <w:rPr>
          <w:rFonts w:hint="eastAsia"/>
          <w:snapToGrid w:val="0"/>
          <w:color w:val="0D0D0D" w:themeColor="text1" w:themeTint="F2"/>
          <w:kern w:val="0"/>
          <w:szCs w:val="24"/>
          <w14:textFill>
            <w14:solidFill>
              <w14:schemeClr w14:val="tx1">
                <w14:lumMod w14:val="95000"/>
                <w14:lumOff w14:val="5000"/>
              </w14:schemeClr>
            </w14:solidFill>
          </w14:textFill>
        </w:rPr>
        <w:t>1</w:t>
      </w:r>
      <w:r>
        <w:rPr>
          <w:snapToGrid w:val="0"/>
          <w:color w:val="0D0D0D" w:themeColor="text1" w:themeTint="F2"/>
          <w:kern w:val="0"/>
          <w:szCs w:val="24"/>
          <w14:textFill>
            <w14:solidFill>
              <w14:schemeClr w14:val="tx1">
                <w14:lumMod w14:val="95000"/>
                <w14:lumOff w14:val="5000"/>
              </w14:schemeClr>
            </w14:solidFill>
          </w14:textFill>
        </w:rPr>
        <w:t>.2MPa，当设计</w:t>
      </w:r>
      <w:r>
        <w:rPr>
          <w:rFonts w:hint="eastAsia"/>
          <w:snapToGrid w:val="0"/>
          <w:color w:val="0D0D0D" w:themeColor="text1" w:themeTint="F2"/>
          <w:kern w:val="0"/>
          <w:szCs w:val="24"/>
          <w14:textFill>
            <w14:solidFill>
              <w14:schemeClr w14:val="tx1">
                <w14:lumMod w14:val="95000"/>
                <w14:lumOff w14:val="5000"/>
              </w14:schemeClr>
            </w14:solidFill>
          </w14:textFill>
        </w:rPr>
        <w:t>龄期</w:t>
      </w:r>
      <w:r>
        <w:rPr>
          <w:snapToGrid w:val="0"/>
          <w:color w:val="0D0D0D" w:themeColor="text1" w:themeTint="F2"/>
          <w:kern w:val="0"/>
          <w:szCs w:val="24"/>
          <w14:textFill>
            <w14:solidFill>
              <w14:schemeClr w14:val="tx1">
                <w14:lumMod w14:val="95000"/>
                <w14:lumOff w14:val="5000"/>
              </w14:schemeClr>
            </w14:solidFill>
          </w14:textFill>
        </w:rPr>
        <w:t>立方体抗压强度标准值≥10MPa，其抗压强度标准差计算值小于3.0MPa时，计算配制抗压强度用的标准差应取不小于3.0MPa。</w:t>
      </w:r>
    </w:p>
    <w:p w14:paraId="3B0BEC5C">
      <w:pPr>
        <w:spacing w:line="360" w:lineRule="auto"/>
        <w:ind w:firstLine="0" w:firstLineChars="0"/>
        <w:rPr>
          <w:color w:val="0D0D0D" w:themeColor="text1" w:themeTint="F2"/>
          <w:szCs w:val="21"/>
          <w14:textFill>
            <w14:solidFill>
              <w14:schemeClr w14:val="tx1">
                <w14:lumMod w14:val="95000"/>
                <w14:lumOff w14:val="5000"/>
              </w14:schemeClr>
            </w14:solidFill>
          </w14:textFill>
        </w:rPr>
      </w:pPr>
      <w:bookmarkStart w:id="19" w:name="_Hlk68034045"/>
      <w:r>
        <w:rPr>
          <w:rFonts w:hint="eastAsia"/>
          <w:b/>
          <w:color w:val="0D0D0D" w:themeColor="text1" w:themeTint="F2"/>
          <w:szCs w:val="21"/>
          <w14:textFill>
            <w14:solidFill>
              <w14:schemeClr w14:val="tx1">
                <w14:lumMod w14:val="95000"/>
                <w14:lumOff w14:val="5000"/>
              </w14:schemeClr>
            </w14:solidFill>
          </w14:textFill>
        </w:rPr>
        <w:t>4</w:t>
      </w:r>
      <w:r>
        <w:rPr>
          <w:b/>
          <w:color w:val="0D0D0D" w:themeColor="text1" w:themeTint="F2"/>
          <w:szCs w:val="21"/>
          <w14:textFill>
            <w14:solidFill>
              <w14:schemeClr w14:val="tx1">
                <w14:lumMod w14:val="95000"/>
                <w14:lumOff w14:val="5000"/>
              </w14:schemeClr>
            </w14:solidFill>
          </w14:textFill>
        </w:rPr>
        <w:t>.0.4</w:t>
      </w:r>
      <w:bookmarkEnd w:id="19"/>
      <w:r>
        <w:rPr>
          <w:snapToGrid w:val="0"/>
          <w:color w:val="0D0D0D" w:themeColor="text1" w:themeTint="F2"/>
          <w:kern w:val="0"/>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考虑到胶结砂砾石强度离散性较大，没有胶结砂砾石强度资料时，</w:t>
      </w:r>
      <w:r>
        <w:rPr>
          <w:i/>
          <w:iCs/>
          <w:color w:val="0D0D0D" w:themeColor="text1" w:themeTint="F2"/>
          <w:szCs w:val="21"/>
          <w14:textFill>
            <w14:solidFill>
              <w14:schemeClr w14:val="tx1">
                <w14:lumMod w14:val="95000"/>
                <w14:lumOff w14:val="5000"/>
              </w14:schemeClr>
            </w14:solidFill>
          </w14:textFill>
        </w:rPr>
        <w:t>σ</w:t>
      </w:r>
      <w:r>
        <w:rPr>
          <w:color w:val="0D0D0D" w:themeColor="text1" w:themeTint="F2"/>
          <w:szCs w:val="21"/>
          <w14:textFill>
            <w14:solidFill>
              <w14:schemeClr w14:val="tx1">
                <w14:lumMod w14:val="95000"/>
                <w14:lumOff w14:val="5000"/>
              </w14:schemeClr>
            </w14:solidFill>
          </w14:textFill>
        </w:rPr>
        <w:t>值可按表</w:t>
      </w:r>
      <w:r>
        <w:rPr>
          <w:rFonts w:hint="eastAsia"/>
          <w:color w:val="0D0D0D" w:themeColor="text1" w:themeTint="F2"/>
          <w:szCs w:val="21"/>
          <w14:textFill>
            <w14:solidFill>
              <w14:schemeClr w14:val="tx1">
                <w14:lumMod w14:val="95000"/>
                <w14:lumOff w14:val="5000"/>
              </w14:schemeClr>
            </w14:solidFill>
          </w14:textFill>
        </w:rPr>
        <w:t>4</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0.4</w:t>
      </w:r>
      <w:r>
        <w:rPr>
          <w:color w:val="0D0D0D" w:themeColor="text1" w:themeTint="F2"/>
          <w:szCs w:val="21"/>
          <w14:textFill>
            <w14:solidFill>
              <w14:schemeClr w14:val="tx1">
                <w14:lumMod w14:val="95000"/>
                <w14:lumOff w14:val="5000"/>
              </w14:schemeClr>
            </w14:solidFill>
          </w14:textFill>
        </w:rPr>
        <w:t>取值，待以后强度资料充实后再做修订。施工中应根据施工时段强度的统计结果，调整</w:t>
      </w:r>
      <w:r>
        <w:rPr>
          <w:i/>
          <w:iCs/>
          <w:color w:val="0D0D0D" w:themeColor="text1" w:themeTint="F2"/>
          <w:szCs w:val="21"/>
          <w14:textFill>
            <w14:solidFill>
              <w14:schemeClr w14:val="tx1">
                <w14:lumMod w14:val="95000"/>
                <w14:lumOff w14:val="5000"/>
              </w14:schemeClr>
            </w14:solidFill>
          </w14:textFill>
        </w:rPr>
        <w:t>σ</w:t>
      </w:r>
      <w:r>
        <w:rPr>
          <w:color w:val="0D0D0D" w:themeColor="text1" w:themeTint="F2"/>
          <w:szCs w:val="21"/>
          <w14:textFill>
            <w14:solidFill>
              <w14:schemeClr w14:val="tx1">
                <w14:lumMod w14:val="95000"/>
                <w14:lumOff w14:val="5000"/>
              </w14:schemeClr>
            </w14:solidFill>
          </w14:textFill>
        </w:rPr>
        <w:t>值，进行动态控制。</w:t>
      </w:r>
    </w:p>
    <w:p w14:paraId="537762C8">
      <w:pPr>
        <w:ind w:right="697" w:rightChars="332" w:firstLine="360"/>
        <w:jc w:val="center"/>
        <w:rPr>
          <w:rFonts w:eastAsia="黑体"/>
          <w:snapToGrid w:val="0"/>
          <w:color w:val="0D0D0D" w:themeColor="text1" w:themeTint="F2"/>
          <w:kern w:val="0"/>
          <w:sz w:val="18"/>
          <w:szCs w:val="18"/>
          <w14:textFill>
            <w14:solidFill>
              <w14:schemeClr w14:val="tx1">
                <w14:lumMod w14:val="95000"/>
                <w14:lumOff w14:val="5000"/>
              </w14:schemeClr>
            </w14:solidFill>
          </w14:textFill>
        </w:rPr>
      </w:pPr>
      <w:r>
        <w:rPr>
          <w:rFonts w:eastAsia="黑体"/>
          <w:snapToGrid w:val="0"/>
          <w:color w:val="0D0D0D" w:themeColor="text1" w:themeTint="F2"/>
          <w:kern w:val="0"/>
          <w:sz w:val="18"/>
          <w:szCs w:val="18"/>
          <w14:textFill>
            <w14:solidFill>
              <w14:schemeClr w14:val="tx1">
                <w14:lumMod w14:val="95000"/>
                <w14:lumOff w14:val="5000"/>
              </w14:schemeClr>
            </w14:solidFill>
          </w14:textFill>
        </w:rPr>
        <w:t xml:space="preserve">表 </w:t>
      </w:r>
      <w:r>
        <w:rPr>
          <w:rFonts w:hint="eastAsia" w:eastAsia="黑体"/>
          <w:snapToGrid w:val="0"/>
          <w:color w:val="0D0D0D" w:themeColor="text1" w:themeTint="F2"/>
          <w:kern w:val="0"/>
          <w:sz w:val="18"/>
          <w:szCs w:val="18"/>
          <w14:textFill>
            <w14:solidFill>
              <w14:schemeClr w14:val="tx1">
                <w14:lumMod w14:val="95000"/>
                <w14:lumOff w14:val="5000"/>
              </w14:schemeClr>
            </w14:solidFill>
          </w14:textFill>
        </w:rPr>
        <w:t>4</w:t>
      </w:r>
      <w:r>
        <w:rPr>
          <w:rFonts w:eastAsia="黑体"/>
          <w:snapToGrid w:val="0"/>
          <w:color w:val="0D0D0D" w:themeColor="text1" w:themeTint="F2"/>
          <w:kern w:val="0"/>
          <w:sz w:val="18"/>
          <w:szCs w:val="18"/>
          <w14:textFill>
            <w14:solidFill>
              <w14:schemeClr w14:val="tx1">
                <w14:lumMod w14:val="95000"/>
                <w14:lumOff w14:val="5000"/>
              </w14:schemeClr>
            </w14:solidFill>
          </w14:textFill>
        </w:rPr>
        <w:t>.</w:t>
      </w:r>
      <w:r>
        <w:rPr>
          <w:rFonts w:hint="eastAsia" w:eastAsia="黑体"/>
          <w:snapToGrid w:val="0"/>
          <w:color w:val="0D0D0D" w:themeColor="text1" w:themeTint="F2"/>
          <w:kern w:val="0"/>
          <w:sz w:val="18"/>
          <w:szCs w:val="18"/>
          <w14:textFill>
            <w14:solidFill>
              <w14:schemeClr w14:val="tx1">
                <w14:lumMod w14:val="95000"/>
                <w14:lumOff w14:val="5000"/>
              </w14:schemeClr>
            </w14:solidFill>
          </w14:textFill>
        </w:rPr>
        <w:t>0.4</w:t>
      </w:r>
      <w:r>
        <w:rPr>
          <w:rFonts w:eastAsia="黑体"/>
          <w:snapToGrid w:val="0"/>
          <w:color w:val="0D0D0D" w:themeColor="text1" w:themeTint="F2"/>
          <w:kern w:val="0"/>
          <w:sz w:val="18"/>
          <w:szCs w:val="18"/>
          <w14:textFill>
            <w14:solidFill>
              <w14:schemeClr w14:val="tx1">
                <w14:lumMod w14:val="95000"/>
                <w14:lumOff w14:val="5000"/>
              </w14:schemeClr>
            </w14:solidFill>
          </w14:textFill>
        </w:rPr>
        <w:t xml:space="preserve"> 标准差</w:t>
      </w:r>
      <w:r>
        <w:rPr>
          <w:rFonts w:eastAsia="黑体"/>
          <w:i/>
          <w:iCs/>
          <w:snapToGrid w:val="0"/>
          <w:color w:val="0D0D0D" w:themeColor="text1" w:themeTint="F2"/>
          <w:kern w:val="0"/>
          <w:sz w:val="18"/>
          <w:szCs w:val="18"/>
          <w14:textFill>
            <w14:solidFill>
              <w14:schemeClr w14:val="tx1">
                <w14:lumMod w14:val="95000"/>
                <w14:lumOff w14:val="5000"/>
              </w14:schemeClr>
            </w14:solidFill>
          </w14:textFill>
        </w:rPr>
        <w:t>σ</w:t>
      </w:r>
      <w:r>
        <w:rPr>
          <w:rFonts w:eastAsia="黑体"/>
          <w:snapToGrid w:val="0"/>
          <w:color w:val="0D0D0D" w:themeColor="text1" w:themeTint="F2"/>
          <w:kern w:val="0"/>
          <w:sz w:val="18"/>
          <w:szCs w:val="18"/>
          <w14:textFill>
            <w14:solidFill>
              <w14:schemeClr w14:val="tx1">
                <w14:lumMod w14:val="95000"/>
                <w14:lumOff w14:val="5000"/>
              </w14:schemeClr>
            </w14:solidFill>
          </w14:textFill>
        </w:rPr>
        <w:t>选用值</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1170"/>
        <w:gridCol w:w="1100"/>
        <w:gridCol w:w="1039"/>
        <w:gridCol w:w="1146"/>
        <w:gridCol w:w="1146"/>
        <w:gridCol w:w="925"/>
      </w:tblGrid>
      <w:tr w14:paraId="5F70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pct"/>
            <w:vAlign w:val="center"/>
          </w:tcPr>
          <w:p w14:paraId="261578EF">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rFonts w:hint="eastAsia"/>
                <w:color w:val="0D0D0D" w:themeColor="text1" w:themeTint="F2"/>
                <w:sz w:val="18"/>
                <w:szCs w:val="18"/>
                <w14:textFill>
                  <w14:solidFill>
                    <w14:schemeClr w14:val="tx1">
                      <w14:lumMod w14:val="95000"/>
                      <w14:lumOff w14:val="5000"/>
                    </w14:schemeClr>
                  </w14:solidFill>
                </w14:textFill>
              </w:rPr>
              <w:t>胶结砂砾石强度等级</w:t>
            </w:r>
          </w:p>
        </w:tc>
        <w:tc>
          <w:tcPr>
            <w:tcW w:w="639" w:type="pct"/>
            <w:vAlign w:val="center"/>
          </w:tcPr>
          <w:p w14:paraId="20CD4058">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4</w:t>
            </w:r>
          </w:p>
        </w:tc>
        <w:tc>
          <w:tcPr>
            <w:tcW w:w="609" w:type="pct"/>
            <w:vAlign w:val="center"/>
          </w:tcPr>
          <w:p w14:paraId="7D2A296F">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6</w:t>
            </w:r>
          </w:p>
        </w:tc>
        <w:tc>
          <w:tcPr>
            <w:tcW w:w="609" w:type="pct"/>
            <w:vAlign w:val="center"/>
          </w:tcPr>
          <w:p w14:paraId="558493BD">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8</w:t>
            </w:r>
          </w:p>
        </w:tc>
        <w:tc>
          <w:tcPr>
            <w:tcW w:w="672" w:type="pct"/>
            <w:vAlign w:val="center"/>
          </w:tcPr>
          <w:p w14:paraId="5A24A2C9">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10</w:t>
            </w:r>
          </w:p>
        </w:tc>
        <w:tc>
          <w:tcPr>
            <w:tcW w:w="672" w:type="pct"/>
            <w:vAlign w:val="center"/>
          </w:tcPr>
          <w:p w14:paraId="4A85CCCA">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15</w:t>
            </w:r>
          </w:p>
        </w:tc>
        <w:tc>
          <w:tcPr>
            <w:tcW w:w="672" w:type="pct"/>
            <w:vAlign w:val="center"/>
          </w:tcPr>
          <w:p w14:paraId="0A0E3E13">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20</w:t>
            </w:r>
          </w:p>
        </w:tc>
      </w:tr>
      <w:tr w14:paraId="040E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4" w:type="pct"/>
            <w:vAlign w:val="center"/>
          </w:tcPr>
          <w:p w14:paraId="67B4D979">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i/>
                <w:iCs/>
                <w:color w:val="0D0D0D" w:themeColor="text1" w:themeTint="F2"/>
                <w:sz w:val="18"/>
                <w:szCs w:val="18"/>
                <w14:textFill>
                  <w14:solidFill>
                    <w14:schemeClr w14:val="tx1">
                      <w14:lumMod w14:val="95000"/>
                      <w14:lumOff w14:val="5000"/>
                    </w14:schemeClr>
                  </w14:solidFill>
                </w14:textFill>
              </w:rPr>
              <w:t>σ</w:t>
            </w:r>
            <w:r>
              <w:rPr>
                <w:color w:val="0D0D0D" w:themeColor="text1" w:themeTint="F2"/>
                <w:sz w:val="18"/>
                <w:szCs w:val="18"/>
                <w14:textFill>
                  <w14:solidFill>
                    <w14:schemeClr w14:val="tx1">
                      <w14:lumMod w14:val="95000"/>
                      <w14:lumOff w14:val="5000"/>
                    </w14:schemeClr>
                  </w14:solidFill>
                </w14:textFill>
              </w:rPr>
              <w:t>（MPa）</w:t>
            </w:r>
          </w:p>
        </w:tc>
        <w:tc>
          <w:tcPr>
            <w:tcW w:w="686" w:type="pct"/>
            <w:vAlign w:val="center"/>
          </w:tcPr>
          <w:p w14:paraId="2007D36C">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1.6</w:t>
            </w:r>
          </w:p>
        </w:tc>
        <w:tc>
          <w:tcPr>
            <w:tcW w:w="645" w:type="pct"/>
            <w:vAlign w:val="center"/>
          </w:tcPr>
          <w:p w14:paraId="67468F41">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2.4</w:t>
            </w:r>
          </w:p>
        </w:tc>
        <w:tc>
          <w:tcPr>
            <w:tcW w:w="609" w:type="pct"/>
            <w:vAlign w:val="center"/>
          </w:tcPr>
          <w:p w14:paraId="18F29339">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3.2</w:t>
            </w:r>
          </w:p>
        </w:tc>
        <w:tc>
          <w:tcPr>
            <w:tcW w:w="672" w:type="pct"/>
            <w:vAlign w:val="center"/>
          </w:tcPr>
          <w:p w14:paraId="2D06A6AF">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4.0</w:t>
            </w:r>
          </w:p>
        </w:tc>
        <w:tc>
          <w:tcPr>
            <w:tcW w:w="672" w:type="pct"/>
            <w:vAlign w:val="center"/>
          </w:tcPr>
          <w:p w14:paraId="73354B28">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6.0</w:t>
            </w:r>
          </w:p>
        </w:tc>
        <w:tc>
          <w:tcPr>
            <w:tcW w:w="542" w:type="pct"/>
            <w:vAlign w:val="center"/>
          </w:tcPr>
          <w:p w14:paraId="5E913797">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8.0</w:t>
            </w:r>
          </w:p>
        </w:tc>
      </w:tr>
      <w:tr w14:paraId="3907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 w:type="pct"/>
            <w:gridSpan w:val="7"/>
            <w:vAlign w:val="center"/>
          </w:tcPr>
          <w:p w14:paraId="392AC652">
            <w:pPr>
              <w:spacing w:line="240" w:lineRule="auto"/>
              <w:ind w:firstLine="0" w:firstLineChars="0"/>
              <w:jc w:val="left"/>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注：胶结砂砾石强度标准值采用180d龄期，保证率为80%。</w:t>
            </w:r>
          </w:p>
        </w:tc>
      </w:tr>
    </w:tbl>
    <w:p w14:paraId="0F23876E">
      <w:pPr>
        <w:ind w:firstLine="420"/>
        <w:rPr>
          <w:color w:val="0D0D0D" w:themeColor="text1" w:themeTint="F2"/>
          <w14:textFill>
            <w14:solidFill>
              <w14:schemeClr w14:val="tx1">
                <w14:lumMod w14:val="95000"/>
                <w14:lumOff w14:val="5000"/>
              </w14:schemeClr>
            </w14:solidFill>
          </w14:textFill>
        </w:rPr>
      </w:pPr>
    </w:p>
    <w:p w14:paraId="24990AF0">
      <w:pPr>
        <w:ind w:firstLine="0" w:firstLineChars="0"/>
        <w:rPr>
          <w:color w:val="0D0D0D" w:themeColor="text1" w:themeTint="F2"/>
          <w14:textFill>
            <w14:solidFill>
              <w14:schemeClr w14:val="tx1">
                <w14:lumMod w14:val="95000"/>
                <w14:lumOff w14:val="5000"/>
              </w14:schemeClr>
            </w14:solidFill>
          </w14:textFill>
        </w:rPr>
      </w:pPr>
    </w:p>
    <w:p w14:paraId="789F2F57">
      <w:pPr>
        <w:pStyle w:val="2"/>
        <w:spacing w:before="156" w:after="156"/>
        <w:ind w:firstLine="562"/>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bookmarkStart w:id="20" w:name="_Toc64733482"/>
    </w:p>
    <w:p w14:paraId="5C2CD466">
      <w:pPr>
        <w:pStyle w:val="2"/>
        <w:spacing w:before="156" w:after="156"/>
        <w:ind w:firstLine="562"/>
        <w:rPr>
          <w:color w:val="0D0D0D" w:themeColor="text1" w:themeTint="F2"/>
          <w14:textFill>
            <w14:solidFill>
              <w14:schemeClr w14:val="tx1">
                <w14:lumMod w14:val="95000"/>
                <w14:lumOff w14:val="5000"/>
              </w14:schemeClr>
            </w14:solidFill>
          </w14:textFill>
        </w:rPr>
      </w:pPr>
      <w:bookmarkStart w:id="21" w:name="_Toc199247350"/>
      <w:bookmarkStart w:id="22" w:name="_Toc199246893"/>
      <w:r>
        <w:rPr>
          <w:rFonts w:hint="eastAsia"/>
          <w:color w:val="0D0D0D" w:themeColor="text1" w:themeTint="F2"/>
          <w14:textFill>
            <w14:solidFill>
              <w14:schemeClr w14:val="tx1">
                <w14:lumMod w14:val="95000"/>
                <w14:lumOff w14:val="5000"/>
              </w14:schemeClr>
            </w14:solidFill>
          </w14:textFill>
        </w:rPr>
        <w:t>5</w:t>
      </w:r>
      <w:r>
        <w:rPr>
          <w:color w:val="0D0D0D" w:themeColor="text1" w:themeTint="F2"/>
          <w14:textFill>
            <w14:solidFill>
              <w14:schemeClr w14:val="tx1">
                <w14:lumMod w14:val="95000"/>
                <w14:lumOff w14:val="5000"/>
              </w14:schemeClr>
            </w14:solidFill>
          </w14:textFill>
        </w:rPr>
        <w:t xml:space="preserve"> 配合比的计算</w:t>
      </w:r>
      <w:bookmarkEnd w:id="20"/>
      <w:bookmarkEnd w:id="21"/>
      <w:bookmarkEnd w:id="22"/>
    </w:p>
    <w:p w14:paraId="7D7D22E4">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5</w:t>
      </w:r>
      <w:r>
        <w:rPr>
          <w:b/>
          <w:color w:val="0D0D0D" w:themeColor="text1" w:themeTint="F2"/>
          <w:szCs w:val="21"/>
          <w14:textFill>
            <w14:solidFill>
              <w14:schemeClr w14:val="tx1">
                <w14:lumMod w14:val="95000"/>
                <w14:lumOff w14:val="5000"/>
              </w14:schemeClr>
            </w14:solidFill>
          </w14:textFill>
        </w:rPr>
        <w:t>.0.1</w:t>
      </w:r>
      <w:r>
        <w:rPr>
          <w:rFonts w:eastAsia="黑体"/>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胶结砂砾石配合比计算应以饱和面干状态</w:t>
      </w:r>
      <w:r>
        <w:rPr>
          <w:rFonts w:hint="eastAsia"/>
          <w:snapToGrid w:val="0"/>
          <w:color w:val="0D0D0D" w:themeColor="text1" w:themeTint="F2"/>
          <w:kern w:val="0"/>
          <w:szCs w:val="24"/>
          <w14:textFill>
            <w14:solidFill>
              <w14:schemeClr w14:val="tx1">
                <w14:lumMod w14:val="95000"/>
                <w14:lumOff w14:val="5000"/>
              </w14:schemeClr>
            </w14:solidFill>
          </w14:textFill>
        </w:rPr>
        <w:t>砂砾石</w:t>
      </w:r>
      <w:r>
        <w:rPr>
          <w:snapToGrid w:val="0"/>
          <w:color w:val="0D0D0D" w:themeColor="text1" w:themeTint="F2"/>
          <w:kern w:val="0"/>
          <w:szCs w:val="24"/>
          <w14:textFill>
            <w14:solidFill>
              <w14:schemeClr w14:val="tx1">
                <w14:lumMod w14:val="95000"/>
                <w14:lumOff w14:val="5000"/>
              </w14:schemeClr>
            </w14:solidFill>
          </w14:textFill>
        </w:rPr>
        <w:t>料为基准。</w:t>
      </w:r>
    </w:p>
    <w:p w14:paraId="40DDB88F">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5.0.2</w:t>
      </w:r>
      <w:r>
        <w:rPr>
          <w:rFonts w:hint="eastAsia"/>
          <w:color w:val="0D0D0D" w:themeColor="text1" w:themeTint="F2"/>
          <w:szCs w:val="21"/>
          <w14:textFill>
            <w14:solidFill>
              <w14:schemeClr w14:val="tx1">
                <w14:lumMod w14:val="95000"/>
                <w14:lumOff w14:val="5000"/>
              </w14:schemeClr>
            </w14:solidFill>
          </w14:textFill>
        </w:rPr>
        <w:t xml:space="preserve"> 胶结砂砾石</w:t>
      </w:r>
      <w:r>
        <w:rPr>
          <w:color w:val="0D0D0D" w:themeColor="text1" w:themeTint="F2"/>
          <w:szCs w:val="21"/>
          <w14:textFill>
            <w14:solidFill>
              <w14:schemeClr w14:val="tx1">
                <w14:lumMod w14:val="95000"/>
                <w14:lumOff w14:val="5000"/>
              </w14:schemeClr>
            </w14:solidFill>
          </w14:textFill>
        </w:rPr>
        <w:t>配合比应按下列步骤进行计算：</w:t>
      </w:r>
    </w:p>
    <w:p w14:paraId="02F518B1">
      <w:pPr>
        <w:spacing w:line="360" w:lineRule="auto"/>
        <w:ind w:firstLine="422"/>
        <w:rPr>
          <w:iCs/>
          <w:snapToGrid w:val="0"/>
          <w:color w:val="0D0D0D" w:themeColor="text1" w:themeTint="F2"/>
          <w:kern w:val="0"/>
          <w:szCs w:val="24"/>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按4.0.2计算配制强度</w:t>
      </w: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cu,0</w:t>
      </w:r>
      <w:r>
        <w:rPr>
          <w:rFonts w:hint="eastAsia"/>
          <w:iCs/>
          <w:snapToGrid w:val="0"/>
          <w:color w:val="0D0D0D" w:themeColor="text1" w:themeTint="F2"/>
          <w:kern w:val="0"/>
          <w:szCs w:val="24"/>
          <w14:textFill>
            <w14:solidFill>
              <w14:schemeClr w14:val="tx1">
                <w14:lumMod w14:val="95000"/>
                <w14:lumOff w14:val="5000"/>
              </w14:schemeClr>
            </w14:solidFill>
          </w14:textFill>
        </w:rPr>
        <w:t>。</w:t>
      </w:r>
    </w:p>
    <w:p w14:paraId="22604751">
      <w:pPr>
        <w:spacing w:line="360" w:lineRule="auto"/>
        <w:ind w:firstLine="422"/>
        <w:rPr>
          <w:iCs/>
          <w:snapToGrid w:val="0"/>
          <w:color w:val="0D0D0D" w:themeColor="text1" w:themeTint="F2"/>
          <w:kern w:val="0"/>
          <w:szCs w:val="24"/>
          <w14:textFill>
            <w14:solidFill>
              <w14:schemeClr w14:val="tx1">
                <w14:lumMod w14:val="95000"/>
                <w14:lumOff w14:val="5000"/>
              </w14:schemeClr>
            </w14:solidFill>
          </w14:textFill>
        </w:rPr>
      </w:pPr>
      <w:r>
        <w:rPr>
          <w:rFonts w:hint="eastAsia"/>
          <w:b/>
          <w:iCs/>
          <w:snapToGrid w:val="0"/>
          <w:color w:val="0D0D0D" w:themeColor="text1" w:themeTint="F2"/>
          <w:kern w:val="0"/>
          <w:szCs w:val="24"/>
          <w14:textFill>
            <w14:solidFill>
              <w14:schemeClr w14:val="tx1">
                <w14:lumMod w14:val="95000"/>
                <w14:lumOff w14:val="5000"/>
              </w14:schemeClr>
            </w14:solidFill>
          </w14:textFill>
        </w:rPr>
        <w:t>2</w:t>
      </w:r>
      <w:r>
        <w:rPr>
          <w:iCs/>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iCs/>
          <w:snapToGrid w:val="0"/>
          <w:color w:val="0D0D0D" w:themeColor="text1" w:themeTint="F2"/>
          <w:kern w:val="0"/>
          <w:szCs w:val="24"/>
          <w14:textFill>
            <w14:solidFill>
              <w14:schemeClr w14:val="tx1">
                <w14:lumMod w14:val="95000"/>
                <w14:lumOff w14:val="5000"/>
              </w14:schemeClr>
            </w14:solidFill>
          </w14:textFill>
        </w:rPr>
        <w:t xml:space="preserve"> </w:t>
      </w:r>
      <w:r>
        <w:rPr>
          <w:iCs/>
          <w:snapToGrid w:val="0"/>
          <w:color w:val="0D0D0D" w:themeColor="text1" w:themeTint="F2"/>
          <w:kern w:val="0"/>
          <w:szCs w:val="24"/>
          <w14:textFill>
            <w14:solidFill>
              <w14:schemeClr w14:val="tx1">
                <w14:lumMod w14:val="95000"/>
                <w14:lumOff w14:val="5000"/>
              </w14:schemeClr>
            </w14:solidFill>
          </w14:textFill>
        </w:rPr>
        <w:t>确定现场砂砾石料的包络线最粗、最细以及平均级配。</w:t>
      </w:r>
    </w:p>
    <w:p w14:paraId="0E5B7061">
      <w:pPr>
        <w:spacing w:line="360" w:lineRule="auto"/>
        <w:ind w:firstLine="422"/>
        <w:rPr>
          <w:iCs/>
          <w:snapToGrid w:val="0"/>
          <w:color w:val="0D0D0D" w:themeColor="text1" w:themeTint="F2"/>
          <w:kern w:val="0"/>
          <w:szCs w:val="24"/>
          <w14:textFill>
            <w14:solidFill>
              <w14:schemeClr w14:val="tx1">
                <w14:lumMod w14:val="95000"/>
                <w14:lumOff w14:val="5000"/>
              </w14:schemeClr>
            </w14:solidFill>
          </w14:textFill>
        </w:rPr>
      </w:pPr>
      <w:r>
        <w:rPr>
          <w:b/>
          <w:iCs/>
          <w:snapToGrid w:val="0"/>
          <w:color w:val="0D0D0D" w:themeColor="text1" w:themeTint="F2"/>
          <w:kern w:val="0"/>
          <w:szCs w:val="24"/>
          <w14:textFill>
            <w14:solidFill>
              <w14:schemeClr w14:val="tx1">
                <w14:lumMod w14:val="95000"/>
                <w14:lumOff w14:val="5000"/>
              </w14:schemeClr>
            </w14:solidFill>
          </w14:textFill>
        </w:rPr>
        <w:t>3</w:t>
      </w:r>
      <w:r>
        <w:rPr>
          <w:iCs/>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iCs/>
          <w:snapToGrid w:val="0"/>
          <w:color w:val="0D0D0D" w:themeColor="text1" w:themeTint="F2"/>
          <w:kern w:val="0"/>
          <w:szCs w:val="24"/>
          <w14:textFill>
            <w14:solidFill>
              <w14:schemeClr w14:val="tx1">
                <w14:lumMod w14:val="95000"/>
                <w14:lumOff w14:val="5000"/>
              </w14:schemeClr>
            </w14:solidFill>
          </w14:textFill>
        </w:rPr>
        <w:t xml:space="preserve"> </w:t>
      </w:r>
      <w:r>
        <w:rPr>
          <w:iCs/>
          <w:snapToGrid w:val="0"/>
          <w:color w:val="0D0D0D" w:themeColor="text1" w:themeTint="F2"/>
          <w:kern w:val="0"/>
          <w:szCs w:val="24"/>
          <w14:textFill>
            <w14:solidFill>
              <w14:schemeClr w14:val="tx1">
                <w14:lumMod w14:val="95000"/>
                <w14:lumOff w14:val="5000"/>
              </w14:schemeClr>
            </w14:solidFill>
          </w14:textFill>
        </w:rPr>
        <w:t>根据配制强度和设计龄期立方体抗压强度标准值初选胶凝材料用量</w:t>
      </w:r>
      <w:r>
        <w:rPr>
          <w:rFonts w:hint="eastAsia"/>
          <w:iCs/>
          <w:snapToGrid w:val="0"/>
          <w:color w:val="0D0D0D" w:themeColor="text1" w:themeTint="F2"/>
          <w:kern w:val="0"/>
          <w:szCs w:val="24"/>
          <w14:textFill>
            <w14:solidFill>
              <w14:schemeClr w14:val="tx1">
                <w14:lumMod w14:val="95000"/>
                <w14:lumOff w14:val="5000"/>
              </w14:schemeClr>
            </w14:solidFill>
          </w14:textFill>
        </w:rPr>
        <w:t>3~</w:t>
      </w:r>
      <w:r>
        <w:rPr>
          <w:iCs/>
          <w:snapToGrid w:val="0"/>
          <w:color w:val="0D0D0D" w:themeColor="text1" w:themeTint="F2"/>
          <w:kern w:val="0"/>
          <w:szCs w:val="24"/>
          <w14:textFill>
            <w14:solidFill>
              <w14:schemeClr w14:val="tx1">
                <w14:lumMod w14:val="95000"/>
                <w14:lumOff w14:val="5000"/>
              </w14:schemeClr>
            </w14:solidFill>
          </w14:textFill>
        </w:rPr>
        <w:t>5种。</w:t>
      </w:r>
    </w:p>
    <w:p w14:paraId="6090C2C1">
      <w:pPr>
        <w:spacing w:line="360" w:lineRule="auto"/>
        <w:ind w:firstLine="422"/>
        <w:rPr>
          <w:iCs/>
          <w:snapToGrid w:val="0"/>
          <w:color w:val="0D0D0D" w:themeColor="text1" w:themeTint="F2"/>
          <w:kern w:val="0"/>
          <w:szCs w:val="24"/>
          <w14:textFill>
            <w14:solidFill>
              <w14:schemeClr w14:val="tx1">
                <w14:lumMod w14:val="95000"/>
                <w14:lumOff w14:val="5000"/>
              </w14:schemeClr>
            </w14:solidFill>
          </w14:textFill>
        </w:rPr>
      </w:pPr>
      <w:r>
        <w:rPr>
          <w:b/>
          <w:iCs/>
          <w:snapToGrid w:val="0"/>
          <w:color w:val="0D0D0D" w:themeColor="text1" w:themeTint="F2"/>
          <w:kern w:val="0"/>
          <w:szCs w:val="24"/>
          <w14:textFill>
            <w14:solidFill>
              <w14:schemeClr w14:val="tx1">
                <w14:lumMod w14:val="95000"/>
                <w14:lumOff w14:val="5000"/>
              </w14:schemeClr>
            </w14:solidFill>
          </w14:textFill>
        </w:rPr>
        <w:t>4</w:t>
      </w:r>
      <w:r>
        <w:rPr>
          <w:iCs/>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iCs/>
          <w:snapToGrid w:val="0"/>
          <w:color w:val="0D0D0D" w:themeColor="text1" w:themeTint="F2"/>
          <w:kern w:val="0"/>
          <w:szCs w:val="24"/>
          <w14:textFill>
            <w14:solidFill>
              <w14:schemeClr w14:val="tx1">
                <w14:lumMod w14:val="95000"/>
                <w14:lumOff w14:val="5000"/>
              </w14:schemeClr>
            </w14:solidFill>
          </w14:textFill>
        </w:rPr>
        <w:t xml:space="preserve"> </w:t>
      </w:r>
      <w:r>
        <w:rPr>
          <w:iCs/>
          <w:snapToGrid w:val="0"/>
          <w:color w:val="0D0D0D" w:themeColor="text1" w:themeTint="F2"/>
          <w:kern w:val="0"/>
          <w:szCs w:val="24"/>
          <w14:textFill>
            <w14:solidFill>
              <w14:schemeClr w14:val="tx1">
                <w14:lumMod w14:val="95000"/>
                <w14:lumOff w14:val="5000"/>
              </w14:schemeClr>
            </w14:solidFill>
          </w14:textFill>
        </w:rPr>
        <w:t>根据配制强度和设计龄期立方体抗压强度标准值</w:t>
      </w:r>
      <w:r>
        <w:rPr>
          <w:rFonts w:hint="eastAsia"/>
          <w:iCs/>
          <w:snapToGrid w:val="0"/>
          <w:color w:val="0D0D0D" w:themeColor="text1" w:themeTint="F2"/>
          <w:kern w:val="0"/>
          <w:szCs w:val="24"/>
          <w14:textFill>
            <w14:solidFill>
              <w14:schemeClr w14:val="tx1">
                <w14:lumMod w14:val="95000"/>
                <w14:lumOff w14:val="5000"/>
              </w14:schemeClr>
            </w14:solidFill>
          </w14:textFill>
        </w:rPr>
        <w:t>初选</w:t>
      </w:r>
      <w:r>
        <w:rPr>
          <w:iCs/>
          <w:snapToGrid w:val="0"/>
          <w:color w:val="0D0D0D" w:themeColor="text1" w:themeTint="F2"/>
          <w:kern w:val="0"/>
          <w:szCs w:val="24"/>
          <w14:textFill>
            <w14:solidFill>
              <w14:schemeClr w14:val="tx1">
                <w14:lumMod w14:val="95000"/>
                <w14:lumOff w14:val="5000"/>
              </w14:schemeClr>
            </w14:solidFill>
          </w14:textFill>
        </w:rPr>
        <w:t>水胶比，确定水胶比范围。</w:t>
      </w:r>
    </w:p>
    <w:p w14:paraId="3448DFEA">
      <w:pPr>
        <w:spacing w:line="360" w:lineRule="auto"/>
        <w:ind w:firstLine="422"/>
        <w:rPr>
          <w:b/>
          <w:bCs/>
          <w:color w:val="0D0D0D" w:themeColor="text1" w:themeTint="F2"/>
          <w:szCs w:val="21"/>
          <w14:textFill>
            <w14:solidFill>
              <w14:schemeClr w14:val="tx1">
                <w14:lumMod w14:val="95000"/>
                <w14:lumOff w14:val="5000"/>
              </w14:schemeClr>
            </w14:solidFill>
          </w14:textFill>
        </w:rPr>
      </w:pPr>
      <w:r>
        <w:rPr>
          <w:rFonts w:hint="eastAsia"/>
          <w:b/>
          <w:iCs/>
          <w:snapToGrid w:val="0"/>
          <w:color w:val="0D0D0D" w:themeColor="text1" w:themeTint="F2"/>
          <w:kern w:val="0"/>
          <w:szCs w:val="24"/>
          <w14:textFill>
            <w14:solidFill>
              <w14:schemeClr w14:val="tx1">
                <w14:lumMod w14:val="95000"/>
                <w14:lumOff w14:val="5000"/>
              </w14:schemeClr>
            </w14:solidFill>
          </w14:textFill>
        </w:rPr>
        <w:t>5</w:t>
      </w:r>
      <w:r>
        <w:rPr>
          <w:iCs/>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iCs/>
          <w:snapToGrid w:val="0"/>
          <w:color w:val="0D0D0D" w:themeColor="text1" w:themeTint="F2"/>
          <w:kern w:val="0"/>
          <w:szCs w:val="24"/>
          <w14:textFill>
            <w14:solidFill>
              <w14:schemeClr w14:val="tx1">
                <w14:lumMod w14:val="95000"/>
                <w14:lumOff w14:val="5000"/>
              </w14:schemeClr>
            </w14:solidFill>
          </w14:textFill>
        </w:rPr>
        <w:t xml:space="preserve"> </w:t>
      </w:r>
      <w:r>
        <w:rPr>
          <w:iCs/>
          <w:snapToGrid w:val="0"/>
          <w:color w:val="0D0D0D" w:themeColor="text1" w:themeTint="F2"/>
          <w:kern w:val="0"/>
          <w:szCs w:val="24"/>
          <w14:textFill>
            <w14:solidFill>
              <w14:schemeClr w14:val="tx1">
                <w14:lumMod w14:val="95000"/>
                <w14:lumOff w14:val="5000"/>
              </w14:schemeClr>
            </w14:solidFill>
          </w14:textFill>
        </w:rPr>
        <w:t>通过试验和调整，根据配制强度和设计龄期立方体抗压强度标准值、工作性能要求，确定每立方米胶结砂砾石材料用量和配合比。</w:t>
      </w:r>
    </w:p>
    <w:p w14:paraId="7F7194D5">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5.0.</w:t>
      </w:r>
      <w:r>
        <w:rPr>
          <w:b/>
          <w:bCs/>
          <w:color w:val="0D0D0D" w:themeColor="text1" w:themeTint="F2"/>
          <w:szCs w:val="21"/>
          <w14:textFill>
            <w14:solidFill>
              <w14:schemeClr w14:val="tx1">
                <w14:lumMod w14:val="95000"/>
                <w14:lumOff w14:val="5000"/>
              </w14:schemeClr>
            </w14:solidFill>
          </w14:textFill>
        </w:rPr>
        <w:t>3</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配合比设计参数的选取应满足下列要求：</w:t>
      </w:r>
    </w:p>
    <w:p w14:paraId="4367BBB8">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胶凝材料：胶凝材料用量不宜低于80kg/m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，其中水泥熟料用量不宜低于32kg/m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。当水泥熟料用量低于32kg/m</w:t>
      </w:r>
      <w:r>
        <w:rPr>
          <w:color w:val="0D0D0D" w:themeColor="text1" w:themeTint="F2"/>
          <w:szCs w:val="21"/>
          <w:vertAlign w:val="superscript"/>
          <w14:textFill>
            <w14:solidFill>
              <w14:schemeClr w14:val="tx1">
                <w14:lumMod w14:val="95000"/>
                <w14:lumOff w14:val="5000"/>
              </w14:schemeClr>
            </w14:solidFill>
          </w14:textFill>
        </w:rPr>
        <w:t>3</w:t>
      </w:r>
      <w:r>
        <w:rPr>
          <w:rFonts w:hint="eastAsia"/>
          <w:color w:val="0D0D0D" w:themeColor="text1" w:themeTint="F2"/>
          <w:szCs w:val="21"/>
          <w14:textFill>
            <w14:solidFill>
              <w14:schemeClr w14:val="tx1">
                <w14:lumMod w14:val="95000"/>
                <w14:lumOff w14:val="5000"/>
              </w14:schemeClr>
            </w14:solidFill>
          </w14:textFill>
        </w:rPr>
        <w:t>时应</w:t>
      </w:r>
      <w:r>
        <w:rPr>
          <w:color w:val="0D0D0D" w:themeColor="text1" w:themeTint="F2"/>
          <w:szCs w:val="21"/>
          <w14:textFill>
            <w14:solidFill>
              <w14:schemeClr w14:val="tx1">
                <w14:lumMod w14:val="95000"/>
                <w14:lumOff w14:val="5000"/>
              </w14:schemeClr>
            </w14:solidFill>
          </w14:textFill>
        </w:rPr>
        <w:t>进行</w:t>
      </w:r>
      <w:r>
        <w:rPr>
          <w:rFonts w:hint="eastAsia"/>
          <w:color w:val="0D0D0D" w:themeColor="text1" w:themeTint="F2"/>
          <w:szCs w:val="21"/>
          <w14:textFill>
            <w14:solidFill>
              <w14:schemeClr w14:val="tx1">
                <w14:lumMod w14:val="95000"/>
                <w14:lumOff w14:val="5000"/>
              </w14:schemeClr>
            </w14:solidFill>
          </w14:textFill>
        </w:rPr>
        <w:t>试验</w:t>
      </w:r>
      <w:r>
        <w:rPr>
          <w:color w:val="0D0D0D" w:themeColor="text1" w:themeTint="F2"/>
          <w:szCs w:val="21"/>
          <w14:textFill>
            <w14:solidFill>
              <w14:schemeClr w14:val="tx1">
                <w14:lumMod w14:val="95000"/>
                <w14:lumOff w14:val="5000"/>
              </w14:schemeClr>
            </w14:solidFill>
          </w14:textFill>
        </w:rPr>
        <w:t>论证。</w:t>
      </w:r>
    </w:p>
    <w:p w14:paraId="7D9963EC">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掺合料掺量：应根据水泥品种、水泥强度等级、掺合料品质、胶结砂砾石设计强度等具体情况通过试验确定。当采用硅酸盐水泥、普通硅酸盐水泥时，粉煤灰和其他掺合料的总掺量宜为40%～60%。当采用矿渣硅酸盐水泥、火山灰质硅酸盐水泥、粉煤灰硅酸盐水泥、复合硅酸盐水泥时，粉煤灰和其他掺合料的总掺量宜小于30%。</w:t>
      </w:r>
    </w:p>
    <w:p w14:paraId="009B4C06">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水胶比：应根据设计提出的胶结砂砾石强度要求及砂砾石的特性确定水胶比，水胶比宜控制在0.4～1.</w:t>
      </w:r>
      <w:r>
        <w:rPr>
          <w:rFonts w:hint="eastAsia"/>
          <w:color w:val="0D0D0D" w:themeColor="text1" w:themeTint="F2"/>
          <w:szCs w:val="21"/>
          <w14:textFill>
            <w14:solidFill>
              <w14:schemeClr w14:val="tx1">
                <w14:lumMod w14:val="95000"/>
                <w14:lumOff w14:val="5000"/>
              </w14:schemeClr>
            </w14:solidFill>
          </w14:textFill>
        </w:rPr>
        <w:t>5</w:t>
      </w:r>
      <w:r>
        <w:rPr>
          <w:color w:val="0D0D0D" w:themeColor="text1" w:themeTint="F2"/>
          <w:szCs w:val="21"/>
          <w14:textFill>
            <w14:solidFill>
              <w14:schemeClr w14:val="tx1">
                <w14:lumMod w14:val="95000"/>
                <w14:lumOff w14:val="5000"/>
              </w14:schemeClr>
            </w14:solidFill>
          </w14:textFill>
        </w:rPr>
        <w:t>。</w:t>
      </w:r>
    </w:p>
    <w:p w14:paraId="60C03C3F">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4</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砂率：胶结砂砾石中砂率宜在18%～35%。不满足要求时，可通过增加胶凝材料用量、或通过掺配砂料或石料调整级配。</w:t>
      </w:r>
    </w:p>
    <w:p w14:paraId="49D43453">
      <w:pPr>
        <w:spacing w:line="360" w:lineRule="auto"/>
        <w:ind w:firstLine="422"/>
        <w:rPr>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5</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单位用水量：可根据水胶比、胶结砂砾石施工工作度、砂砾石的种类和最大粒径及含砂量、外加剂等选定单位用水量。</w:t>
      </w:r>
    </w:p>
    <w:p w14:paraId="569A5710">
      <w:pPr>
        <w:spacing w:line="360" w:lineRule="auto"/>
        <w:ind w:firstLine="420"/>
        <w:rPr>
          <w:color w:val="0D0D0D" w:themeColor="text1" w:themeTint="F2"/>
          <w:szCs w:val="21"/>
          <w14:textFill>
            <w14:solidFill>
              <w14:schemeClr w14:val="tx1">
                <w14:lumMod w14:val="95000"/>
                <w14:lumOff w14:val="5000"/>
              </w14:schemeClr>
            </w14:solidFill>
          </w14:textFill>
        </w:rPr>
      </w:pPr>
    </w:p>
    <w:p w14:paraId="6BFC7E1F">
      <w:pPr>
        <w:spacing w:line="360" w:lineRule="auto"/>
        <w:ind w:firstLine="0" w:firstLineChars="0"/>
        <w:jc w:val="left"/>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14:textFill>
            <w14:solidFill>
              <w14:schemeClr w14:val="tx1">
                <w14:lumMod w14:val="95000"/>
                <w14:lumOff w14:val="5000"/>
              </w14:schemeClr>
            </w14:solidFill>
          </w14:textFill>
        </w:rPr>
        <w:t>5</w:t>
      </w:r>
      <w:r>
        <w:rPr>
          <w:b/>
          <w:color w:val="0D0D0D" w:themeColor="text1" w:themeTint="F2"/>
          <w:szCs w:val="21"/>
          <w14:textFill>
            <w14:solidFill>
              <w14:schemeClr w14:val="tx1">
                <w14:lumMod w14:val="95000"/>
                <w14:lumOff w14:val="5000"/>
              </w14:schemeClr>
            </w14:solidFill>
          </w14:textFill>
        </w:rPr>
        <w:t>.0.4</w:t>
      </w:r>
      <w:r>
        <w:rPr>
          <w:rFonts w:hint="eastAsia"/>
          <w:b/>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设计阶段应按有关规范进行料场勘探和取样试验，根据试验结果绘制砂砾石级配包络线，得到砂砾石最粗级配、最细级配及平均级配。</w:t>
      </w:r>
    </w:p>
    <w:p w14:paraId="0CED1EF3">
      <w:pPr>
        <w:spacing w:line="360" w:lineRule="auto"/>
        <w:ind w:firstLine="0" w:firstLineChars="0"/>
        <w:jc w:val="left"/>
        <w:rPr>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5</w:t>
      </w:r>
      <w:r>
        <w:rPr>
          <w:b/>
          <w:color w:val="0D0D0D" w:themeColor="text1" w:themeTint="F2"/>
          <w:szCs w:val="21"/>
          <w14:textFill>
            <w14:solidFill>
              <w14:schemeClr w14:val="tx1">
                <w14:lumMod w14:val="95000"/>
                <w14:lumOff w14:val="5000"/>
              </w14:schemeClr>
            </w14:solidFill>
          </w14:textFill>
        </w:rPr>
        <w:t>.0.5</w:t>
      </w:r>
      <w:r>
        <w:rPr>
          <w:color w:val="0D0D0D" w:themeColor="text1" w:themeTint="F2"/>
          <w:szCs w:val="21"/>
          <w14:textFill>
            <w14:solidFill>
              <w14:schemeClr w14:val="tx1">
                <w14:lumMod w14:val="95000"/>
                <w14:lumOff w14:val="5000"/>
              </w14:schemeClr>
            </w14:solidFill>
          </w14:textFill>
        </w:rPr>
        <w:t xml:space="preserve"> 配合比试验用砂砾石，应剔除大于150mm粒径后，并将混合砂砾石筛分为150mm～80mm、80mm～40mm、40mm～20mm、20mm～5mm 四个级配的粗骨料和5mm以下的砂。试验中分别称量、配制。</w:t>
      </w:r>
    </w:p>
    <w:p w14:paraId="5F583FC3">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rFonts w:hint="eastAsia" w:eastAsia="黑体"/>
          <w:b/>
          <w:bCs/>
          <w:snapToGrid w:val="0"/>
          <w:color w:val="0D0D0D" w:themeColor="text1" w:themeTint="F2"/>
          <w:kern w:val="0"/>
          <w:szCs w:val="24"/>
          <w14:textFill>
            <w14:solidFill>
              <w14:schemeClr w14:val="tx1">
                <w14:lumMod w14:val="95000"/>
                <w14:lumOff w14:val="5000"/>
              </w14:schemeClr>
            </w14:solidFill>
          </w14:textFill>
        </w:rPr>
        <w:t>5.0.</w:t>
      </w:r>
      <w:r>
        <w:rPr>
          <w:rFonts w:eastAsia="黑体"/>
          <w:b/>
          <w:bCs/>
          <w:snapToGrid w:val="0"/>
          <w:color w:val="0D0D0D" w:themeColor="text1" w:themeTint="F2"/>
          <w:kern w:val="0"/>
          <w:szCs w:val="24"/>
          <w14:textFill>
            <w14:solidFill>
              <w14:schemeClr w14:val="tx1">
                <w14:lumMod w14:val="95000"/>
                <w14:lumOff w14:val="5000"/>
              </w14:schemeClr>
            </w14:solidFill>
          </w14:textFill>
        </w:rPr>
        <w:t>6</w:t>
      </w:r>
      <w:r>
        <w:rPr>
          <w:snapToGrid w:val="0"/>
          <w:color w:val="0D0D0D" w:themeColor="text1" w:themeTint="F2"/>
          <w:kern w:val="0"/>
          <w:szCs w:val="24"/>
          <w14:textFill>
            <w14:solidFill>
              <w14:schemeClr w14:val="tx1">
                <w14:lumMod w14:val="95000"/>
                <w14:lumOff w14:val="5000"/>
              </w14:schemeClr>
            </w14:solidFill>
          </w14:textFill>
        </w:rPr>
        <w:t xml:space="preserve"> 选定胶凝材料用量应按</w:t>
      </w:r>
      <w:r>
        <w:rPr>
          <w:rFonts w:hint="eastAsia"/>
          <w:snapToGrid w:val="0"/>
          <w:color w:val="0D0D0D" w:themeColor="text1" w:themeTint="F2"/>
          <w:kern w:val="0"/>
          <w:szCs w:val="24"/>
          <w14:textFill>
            <w14:solidFill>
              <w14:schemeClr w14:val="tx1">
                <w14:lumMod w14:val="95000"/>
                <w14:lumOff w14:val="5000"/>
              </w14:schemeClr>
            </w14:solidFill>
          </w14:textFill>
        </w:rPr>
        <w:t>下列</w:t>
      </w:r>
      <w:r>
        <w:rPr>
          <w:snapToGrid w:val="0"/>
          <w:color w:val="0D0D0D" w:themeColor="text1" w:themeTint="F2"/>
          <w:kern w:val="0"/>
          <w:szCs w:val="24"/>
          <w14:textFill>
            <w14:solidFill>
              <w14:schemeClr w14:val="tx1">
                <w14:lumMod w14:val="95000"/>
                <w14:lumOff w14:val="5000"/>
              </w14:schemeClr>
            </w14:solidFill>
          </w14:textFill>
        </w:rPr>
        <w:t>规定执行：</w:t>
      </w:r>
    </w:p>
    <w:p w14:paraId="53F444BB">
      <w:pPr>
        <w:ind w:firstLine="420"/>
        <w:rPr>
          <w:snapToGrid w:val="0"/>
          <w:color w:val="0D0D0D" w:themeColor="text1" w:themeTint="F2"/>
          <w:kern w:val="0"/>
          <w:szCs w:val="24"/>
          <w14:textFill>
            <w14:solidFill>
              <w14:schemeClr w14:val="tx1">
                <w14:lumMod w14:val="95000"/>
                <w14:lumOff w14:val="5000"/>
              </w14:schemeClr>
            </w14:solidFill>
          </w14:textFill>
        </w:rPr>
      </w:pPr>
      <w:r>
        <w:rPr>
          <w:snapToGrid w:val="0"/>
          <w:color w:val="0D0D0D" w:themeColor="text1" w:themeTint="F2"/>
          <w:kern w:val="0"/>
          <w:szCs w:val="24"/>
          <w14:textFill>
            <w14:solidFill>
              <w14:schemeClr w14:val="tx1">
                <w14:lumMod w14:val="95000"/>
                <w14:lumOff w14:val="5000"/>
              </w14:schemeClr>
            </w14:solidFill>
          </w14:textFill>
        </w:rPr>
        <w:t>1  每一强度等级至少确定</w:t>
      </w:r>
      <w:r>
        <w:rPr>
          <w:rFonts w:hint="eastAsia"/>
          <w:snapToGrid w:val="0"/>
          <w:color w:val="0D0D0D" w:themeColor="text1" w:themeTint="F2"/>
          <w:kern w:val="0"/>
          <w:szCs w:val="24"/>
          <w14:textFill>
            <w14:solidFill>
              <w14:schemeClr w14:val="tx1">
                <w14:lumMod w14:val="95000"/>
                <w14:lumOff w14:val="5000"/>
              </w14:schemeClr>
            </w14:solidFill>
          </w14:textFill>
        </w:rPr>
        <w:t>3种胶凝材料用量。</w:t>
      </w:r>
    </w:p>
    <w:p w14:paraId="6A8DAE0A">
      <w:pPr>
        <w:ind w:firstLine="420"/>
        <w:rPr>
          <w:snapToGrid w:val="0"/>
          <w:color w:val="0D0D0D" w:themeColor="text1" w:themeTint="F2"/>
          <w:kern w:val="0"/>
          <w:szCs w:val="24"/>
          <w14:textFill>
            <w14:solidFill>
              <w14:schemeClr w14:val="tx1">
                <w14:lumMod w14:val="95000"/>
                <w14:lumOff w14:val="5000"/>
              </w14:schemeClr>
            </w14:solidFill>
          </w14:textFill>
        </w:rPr>
      </w:pPr>
      <w:r>
        <w:rPr>
          <w:snapToGrid w:val="0"/>
          <w:color w:val="0D0D0D" w:themeColor="text1" w:themeTint="F2"/>
          <w:kern w:val="0"/>
          <w:szCs w:val="24"/>
          <w14:textFill>
            <w14:solidFill>
              <w14:schemeClr w14:val="tx1">
                <w14:lumMod w14:val="95000"/>
                <w14:lumOff w14:val="5000"/>
              </w14:schemeClr>
            </w14:solidFill>
          </w14:textFill>
        </w:rPr>
        <w:t>2  应根据历史统计资料，确定适宜的胶凝材料用量，当无历史统计资料时，胶凝材料用量可按表</w:t>
      </w:r>
      <w:r>
        <w:rPr>
          <w:rFonts w:hint="eastAsia"/>
          <w:snapToGrid w:val="0"/>
          <w:color w:val="0D0D0D" w:themeColor="text1" w:themeTint="F2"/>
          <w:kern w:val="0"/>
          <w:szCs w:val="24"/>
          <w14:textFill>
            <w14:solidFill>
              <w14:schemeClr w14:val="tx1">
                <w14:lumMod w14:val="95000"/>
                <w14:lumOff w14:val="5000"/>
              </w14:schemeClr>
            </w14:solidFill>
          </w14:textFill>
        </w:rPr>
        <w:t>5</w:t>
      </w:r>
      <w:r>
        <w:rPr>
          <w:snapToGrid w:val="0"/>
          <w:color w:val="0D0D0D" w:themeColor="text1" w:themeTint="F2"/>
          <w:kern w:val="0"/>
          <w:szCs w:val="24"/>
          <w14:textFill>
            <w14:solidFill>
              <w14:schemeClr w14:val="tx1">
                <w14:lumMod w14:val="95000"/>
                <w14:lumOff w14:val="5000"/>
              </w14:schemeClr>
            </w14:solidFill>
          </w14:textFill>
        </w:rPr>
        <w:t>.0.3确定。</w:t>
      </w:r>
    </w:p>
    <w:p w14:paraId="16287D4D">
      <w:pPr>
        <w:ind w:firstLine="0" w:firstLineChars="0"/>
        <w:jc w:val="center"/>
        <w:rPr>
          <w:snapToGrid w:val="0"/>
          <w:color w:val="0D0D0D" w:themeColor="text1" w:themeTint="F2"/>
          <w:kern w:val="0"/>
          <w:sz w:val="18"/>
          <w:szCs w:val="24"/>
          <w14:textFill>
            <w14:solidFill>
              <w14:schemeClr w14:val="tx1">
                <w14:lumMod w14:val="95000"/>
                <w14:lumOff w14:val="5000"/>
              </w14:schemeClr>
            </w14:solidFill>
          </w14:textFill>
        </w:rPr>
      </w:pPr>
      <w:r>
        <w:rPr>
          <w:snapToGrid w:val="0"/>
          <w:color w:val="0D0D0D" w:themeColor="text1" w:themeTint="F2"/>
          <w:kern w:val="0"/>
          <w:sz w:val="18"/>
          <w:szCs w:val="24"/>
          <w14:textFill>
            <w14:solidFill>
              <w14:schemeClr w14:val="tx1">
                <w14:lumMod w14:val="95000"/>
                <w14:lumOff w14:val="5000"/>
              </w14:schemeClr>
            </w14:solidFill>
          </w14:textFill>
        </w:rPr>
        <w:t>表5.0.3胶凝材料用量范围</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1170"/>
        <w:gridCol w:w="1189"/>
        <w:gridCol w:w="950"/>
        <w:gridCol w:w="1145"/>
        <w:gridCol w:w="1146"/>
        <w:gridCol w:w="925"/>
      </w:tblGrid>
      <w:tr w14:paraId="5CE1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5" w:type="pct"/>
            <w:vAlign w:val="center"/>
          </w:tcPr>
          <w:p w14:paraId="64C5A720">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rFonts w:hint="eastAsia"/>
                <w:color w:val="0D0D0D" w:themeColor="text1" w:themeTint="F2"/>
                <w:sz w:val="18"/>
                <w:szCs w:val="18"/>
                <w14:textFill>
                  <w14:solidFill>
                    <w14:schemeClr w14:val="tx1">
                      <w14:lumMod w14:val="95000"/>
                      <w14:lumOff w14:val="5000"/>
                    </w14:schemeClr>
                  </w14:solidFill>
                </w14:textFill>
              </w:rPr>
              <w:t>胶结砂砾石强度等级</w:t>
            </w:r>
          </w:p>
        </w:tc>
        <w:tc>
          <w:tcPr>
            <w:tcW w:w="686" w:type="pct"/>
            <w:vAlign w:val="center"/>
          </w:tcPr>
          <w:p w14:paraId="0DA96167">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4</w:t>
            </w:r>
          </w:p>
        </w:tc>
        <w:tc>
          <w:tcPr>
            <w:tcW w:w="697" w:type="pct"/>
            <w:vAlign w:val="center"/>
          </w:tcPr>
          <w:p w14:paraId="360A59AD">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6</w:t>
            </w:r>
          </w:p>
        </w:tc>
        <w:tc>
          <w:tcPr>
            <w:tcW w:w="557" w:type="pct"/>
            <w:vAlign w:val="center"/>
          </w:tcPr>
          <w:p w14:paraId="461F1099">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8</w:t>
            </w:r>
          </w:p>
        </w:tc>
        <w:tc>
          <w:tcPr>
            <w:tcW w:w="671" w:type="pct"/>
            <w:vAlign w:val="center"/>
          </w:tcPr>
          <w:p w14:paraId="30CC93C0">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10</w:t>
            </w:r>
          </w:p>
        </w:tc>
        <w:tc>
          <w:tcPr>
            <w:tcW w:w="672" w:type="pct"/>
            <w:vAlign w:val="center"/>
          </w:tcPr>
          <w:p w14:paraId="334D023F">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15</w:t>
            </w:r>
          </w:p>
        </w:tc>
        <w:tc>
          <w:tcPr>
            <w:tcW w:w="542" w:type="pct"/>
            <w:vAlign w:val="center"/>
          </w:tcPr>
          <w:p w14:paraId="2C5BE808">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20</w:t>
            </w:r>
          </w:p>
        </w:tc>
      </w:tr>
      <w:tr w14:paraId="7D82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5" w:type="pct"/>
            <w:vAlign w:val="center"/>
          </w:tcPr>
          <w:p w14:paraId="46FF28CA">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C+F（kg/m</w:t>
            </w:r>
            <w:r>
              <w:rPr>
                <w:color w:val="0D0D0D" w:themeColor="text1" w:themeTint="F2"/>
                <w:sz w:val="18"/>
                <w:szCs w:val="18"/>
                <w:vertAlign w:val="superscript"/>
                <w14:textFill>
                  <w14:solidFill>
                    <w14:schemeClr w14:val="tx1">
                      <w14:lumMod w14:val="95000"/>
                      <w14:lumOff w14:val="5000"/>
                    </w14:schemeClr>
                  </w14:solidFill>
                </w14:textFill>
              </w:rPr>
              <w:t>3</w:t>
            </w:r>
            <w:r>
              <w:rPr>
                <w:color w:val="0D0D0D" w:themeColor="text1" w:themeTint="F2"/>
                <w:sz w:val="18"/>
                <w:szCs w:val="18"/>
                <w14:textFill>
                  <w14:solidFill>
                    <w14:schemeClr w14:val="tx1">
                      <w14:lumMod w14:val="95000"/>
                      <w14:lumOff w14:val="5000"/>
                    </w14:schemeClr>
                  </w14:solidFill>
                </w14:textFill>
              </w:rPr>
              <w:t>）</w:t>
            </w:r>
          </w:p>
        </w:tc>
        <w:tc>
          <w:tcPr>
            <w:tcW w:w="686" w:type="pct"/>
            <w:vAlign w:val="center"/>
          </w:tcPr>
          <w:p w14:paraId="6DEF7BC7">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80~100</w:t>
            </w:r>
          </w:p>
        </w:tc>
        <w:tc>
          <w:tcPr>
            <w:tcW w:w="697" w:type="pct"/>
            <w:vAlign w:val="center"/>
          </w:tcPr>
          <w:p w14:paraId="5AFB7BA7">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80~120</w:t>
            </w:r>
          </w:p>
        </w:tc>
        <w:tc>
          <w:tcPr>
            <w:tcW w:w="557" w:type="pct"/>
            <w:vAlign w:val="center"/>
          </w:tcPr>
          <w:p w14:paraId="165A1D64">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rFonts w:hint="eastAsia"/>
                <w:color w:val="0D0D0D" w:themeColor="text1" w:themeTint="F2"/>
                <w:sz w:val="18"/>
                <w:szCs w:val="18"/>
                <w14:textFill>
                  <w14:solidFill>
                    <w14:schemeClr w14:val="tx1">
                      <w14:lumMod w14:val="95000"/>
                      <w14:lumOff w14:val="5000"/>
                    </w14:schemeClr>
                  </w14:solidFill>
                </w14:textFill>
              </w:rPr>
              <w:t>9</w:t>
            </w:r>
            <w:r>
              <w:rPr>
                <w:color w:val="0D0D0D" w:themeColor="text1" w:themeTint="F2"/>
                <w:sz w:val="18"/>
                <w:szCs w:val="18"/>
                <w14:textFill>
                  <w14:solidFill>
                    <w14:schemeClr w14:val="tx1">
                      <w14:lumMod w14:val="95000"/>
                      <w14:lumOff w14:val="5000"/>
                    </w14:schemeClr>
                  </w14:solidFill>
                </w14:textFill>
              </w:rPr>
              <w:t>0~120</w:t>
            </w:r>
          </w:p>
        </w:tc>
        <w:tc>
          <w:tcPr>
            <w:tcW w:w="671" w:type="pct"/>
            <w:vAlign w:val="center"/>
          </w:tcPr>
          <w:p w14:paraId="4D3D2341">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90~140</w:t>
            </w:r>
          </w:p>
        </w:tc>
        <w:tc>
          <w:tcPr>
            <w:tcW w:w="672" w:type="pct"/>
            <w:vAlign w:val="center"/>
          </w:tcPr>
          <w:p w14:paraId="3D7E411E">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120~180</w:t>
            </w:r>
          </w:p>
        </w:tc>
        <w:tc>
          <w:tcPr>
            <w:tcW w:w="542" w:type="pct"/>
            <w:vAlign w:val="center"/>
          </w:tcPr>
          <w:p w14:paraId="2F94E0D5">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140~210</w:t>
            </w:r>
          </w:p>
        </w:tc>
      </w:tr>
    </w:tbl>
    <w:p w14:paraId="53C8A08D">
      <w:pPr>
        <w:ind w:firstLine="0" w:firstLineChars="0"/>
        <w:jc w:val="center"/>
        <w:rPr>
          <w:snapToGrid w:val="0"/>
          <w:color w:val="0D0D0D" w:themeColor="text1" w:themeTint="F2"/>
          <w:kern w:val="0"/>
          <w:szCs w:val="24"/>
          <w14:textFill>
            <w14:solidFill>
              <w14:schemeClr w14:val="tx1">
                <w14:lumMod w14:val="95000"/>
                <w14:lumOff w14:val="5000"/>
              </w14:schemeClr>
            </w14:solidFill>
          </w14:textFill>
        </w:rPr>
      </w:pPr>
    </w:p>
    <w:p w14:paraId="753C4F8B">
      <w:pPr>
        <w:ind w:firstLine="0" w:firstLineChars="0"/>
        <w:rPr>
          <w:snapToGrid w:val="0"/>
          <w:color w:val="0D0D0D" w:themeColor="text1" w:themeTint="F2"/>
          <w:kern w:val="0"/>
          <w:szCs w:val="24"/>
          <w14:textFill>
            <w14:solidFill>
              <w14:schemeClr w14:val="tx1">
                <w14:lumMod w14:val="95000"/>
                <w14:lumOff w14:val="5000"/>
              </w14:schemeClr>
            </w14:solidFill>
          </w14:textFill>
        </w:rPr>
      </w:pPr>
      <w:r>
        <w:rPr>
          <w:rFonts w:hint="eastAsia" w:eastAsia="黑体"/>
          <w:b/>
          <w:bCs/>
          <w:snapToGrid w:val="0"/>
          <w:color w:val="0D0D0D" w:themeColor="text1" w:themeTint="F2"/>
          <w:kern w:val="0"/>
          <w:szCs w:val="24"/>
          <w14:textFill>
            <w14:solidFill>
              <w14:schemeClr w14:val="tx1">
                <w14:lumMod w14:val="95000"/>
                <w14:lumOff w14:val="5000"/>
              </w14:schemeClr>
            </w14:solidFill>
          </w14:textFill>
        </w:rPr>
        <w:t>5</w:t>
      </w:r>
      <w:r>
        <w:rPr>
          <w:rFonts w:eastAsia="黑体"/>
          <w:b/>
          <w:bCs/>
          <w:snapToGrid w:val="0"/>
          <w:color w:val="0D0D0D" w:themeColor="text1" w:themeTint="F2"/>
          <w:kern w:val="0"/>
          <w:szCs w:val="24"/>
          <w14:textFill>
            <w14:solidFill>
              <w14:schemeClr w14:val="tx1">
                <w14:lumMod w14:val="95000"/>
                <w14:lumOff w14:val="5000"/>
              </w14:schemeClr>
            </w14:solidFill>
          </w14:textFill>
        </w:rPr>
        <w:t>.</w:t>
      </w:r>
      <w:r>
        <w:rPr>
          <w:rFonts w:hint="eastAsia" w:eastAsia="黑体"/>
          <w:b/>
          <w:bCs/>
          <w:snapToGrid w:val="0"/>
          <w:color w:val="0D0D0D" w:themeColor="text1" w:themeTint="F2"/>
          <w:kern w:val="0"/>
          <w:szCs w:val="24"/>
          <w14:textFill>
            <w14:solidFill>
              <w14:schemeClr w14:val="tx1">
                <w14:lumMod w14:val="95000"/>
                <w14:lumOff w14:val="5000"/>
              </w14:schemeClr>
            </w14:solidFill>
          </w14:textFill>
        </w:rPr>
        <w:t>0.</w:t>
      </w:r>
      <w:r>
        <w:rPr>
          <w:rFonts w:eastAsia="黑体"/>
          <w:b/>
          <w:bCs/>
          <w:snapToGrid w:val="0"/>
          <w:color w:val="0D0D0D" w:themeColor="text1" w:themeTint="F2"/>
          <w:kern w:val="0"/>
          <w:szCs w:val="24"/>
          <w14:textFill>
            <w14:solidFill>
              <w14:schemeClr w14:val="tx1">
                <w14:lumMod w14:val="95000"/>
                <w14:lumOff w14:val="5000"/>
              </w14:schemeClr>
            </w14:solidFill>
          </w14:textFill>
        </w:rPr>
        <w:t>7</w:t>
      </w:r>
      <w:r>
        <w:rPr>
          <w:snapToGrid w:val="0"/>
          <w:color w:val="0D0D0D" w:themeColor="text1" w:themeTint="F2"/>
          <w:kern w:val="0"/>
          <w:szCs w:val="24"/>
          <w14:textFill>
            <w14:solidFill>
              <w14:schemeClr w14:val="tx1">
                <w14:lumMod w14:val="95000"/>
                <w14:lumOff w14:val="5000"/>
              </w14:schemeClr>
            </w14:solidFill>
          </w14:textFill>
        </w:rPr>
        <w:t xml:space="preserve"> 选定水胶比（或水灰比）应按</w:t>
      </w:r>
      <w:r>
        <w:rPr>
          <w:rFonts w:hint="eastAsia"/>
          <w:snapToGrid w:val="0"/>
          <w:color w:val="0D0D0D" w:themeColor="text1" w:themeTint="F2"/>
          <w:kern w:val="0"/>
          <w:szCs w:val="24"/>
          <w14:textFill>
            <w14:solidFill>
              <w14:schemeClr w14:val="tx1">
                <w14:lumMod w14:val="95000"/>
                <w14:lumOff w14:val="5000"/>
              </w14:schemeClr>
            </w14:solidFill>
          </w14:textFill>
        </w:rPr>
        <w:t>下列</w:t>
      </w:r>
      <w:r>
        <w:rPr>
          <w:snapToGrid w:val="0"/>
          <w:color w:val="0D0D0D" w:themeColor="text1" w:themeTint="F2"/>
          <w:kern w:val="0"/>
          <w:szCs w:val="24"/>
          <w14:textFill>
            <w14:solidFill>
              <w14:schemeClr w14:val="tx1">
                <w14:lumMod w14:val="95000"/>
                <w14:lumOff w14:val="5000"/>
              </w14:schemeClr>
            </w14:solidFill>
          </w14:textFill>
        </w:rPr>
        <w:t xml:space="preserve">规定执行： </w:t>
      </w:r>
    </w:p>
    <w:p w14:paraId="7BFED928">
      <w:pPr>
        <w:ind w:firstLine="426" w:firstLineChars="20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1</w:t>
      </w:r>
      <w:r>
        <w:rPr>
          <w:rFonts w:eastAsia="黑体"/>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 xml:space="preserve"> 应根据</w:t>
      </w:r>
      <w:r>
        <w:rPr>
          <w:rFonts w:hint="eastAsia"/>
          <w:snapToGrid w:val="0"/>
          <w:color w:val="0D0D0D" w:themeColor="text1" w:themeTint="F2"/>
          <w:kern w:val="0"/>
          <w:szCs w:val="24"/>
          <w14:textFill>
            <w14:solidFill>
              <w14:schemeClr w14:val="tx1">
                <w14:lumMod w14:val="95000"/>
                <w14:lumOff w14:val="5000"/>
              </w14:schemeClr>
            </w14:solidFill>
          </w14:textFill>
        </w:rPr>
        <w:t>设计强度等级及</w:t>
      </w:r>
      <w:r>
        <w:rPr>
          <w:snapToGrid w:val="0"/>
          <w:color w:val="0D0D0D" w:themeColor="text1" w:themeTint="F2"/>
          <w:kern w:val="0"/>
          <w:szCs w:val="24"/>
          <w14:textFill>
            <w14:solidFill>
              <w14:schemeClr w14:val="tx1">
                <w14:lumMod w14:val="95000"/>
                <w14:lumOff w14:val="5000"/>
              </w14:schemeClr>
            </w14:solidFill>
          </w14:textFill>
        </w:rPr>
        <w:t>历史统计资料</w:t>
      </w:r>
      <w:r>
        <w:rPr>
          <w:rFonts w:hint="eastAsia"/>
          <w:snapToGrid w:val="0"/>
          <w:color w:val="0D0D0D" w:themeColor="text1" w:themeTint="F2"/>
          <w:kern w:val="0"/>
          <w:szCs w:val="24"/>
          <w14:textFill>
            <w14:solidFill>
              <w14:schemeClr w14:val="tx1">
                <w14:lumMod w14:val="95000"/>
                <w14:lumOff w14:val="5000"/>
              </w14:schemeClr>
            </w14:solidFill>
          </w14:textFill>
        </w:rPr>
        <w:t>，考虑砂砾石料的特点，确定水胶比范围。</w:t>
      </w:r>
    </w:p>
    <w:p w14:paraId="4673FDB6">
      <w:pPr>
        <w:ind w:firstLine="426" w:firstLineChars="202"/>
        <w:rPr>
          <w:snapToGrid w:val="0"/>
          <w:color w:val="0D0D0D" w:themeColor="text1" w:themeTint="F2"/>
          <w:kern w:val="0"/>
          <w:szCs w:val="24"/>
          <w14:textFill>
            <w14:solidFill>
              <w14:schemeClr w14:val="tx1">
                <w14:lumMod w14:val="95000"/>
                <w14:lumOff w14:val="5000"/>
              </w14:schemeClr>
            </w14:solidFill>
          </w14:textFill>
        </w:rPr>
      </w:pPr>
      <w:r>
        <w:rPr>
          <w:rFonts w:hint="eastAsia"/>
          <w:b/>
          <w:bCs/>
          <w:snapToGrid w:val="0"/>
          <w:color w:val="0D0D0D" w:themeColor="text1" w:themeTint="F2"/>
          <w:kern w:val="0"/>
          <w:szCs w:val="24"/>
          <w14:textFill>
            <w14:solidFill>
              <w14:schemeClr w14:val="tx1">
                <w14:lumMod w14:val="95000"/>
                <w14:lumOff w14:val="5000"/>
              </w14:schemeClr>
            </w14:solidFill>
          </w14:textFill>
        </w:rPr>
        <w:t>2</w:t>
      </w:r>
      <w:r>
        <w:rPr>
          <w:snapToGrid w:val="0"/>
          <w:color w:val="0D0D0D" w:themeColor="text1" w:themeTint="F2"/>
          <w:kern w:val="0"/>
          <w:szCs w:val="24"/>
          <w14:textFill>
            <w14:solidFill>
              <w14:schemeClr w14:val="tx1">
                <w14:lumMod w14:val="95000"/>
                <w14:lumOff w14:val="5000"/>
              </w14:schemeClr>
            </w14:solidFill>
          </w14:textFill>
        </w:rPr>
        <w:t xml:space="preserve">  当无历史统计资料时，水胶比可按表</w:t>
      </w:r>
      <w:r>
        <w:rPr>
          <w:rFonts w:hint="eastAsia"/>
          <w:snapToGrid w:val="0"/>
          <w:color w:val="0D0D0D" w:themeColor="text1" w:themeTint="F2"/>
          <w:kern w:val="0"/>
          <w:szCs w:val="24"/>
          <w14:textFill>
            <w14:solidFill>
              <w14:schemeClr w14:val="tx1">
                <w14:lumMod w14:val="95000"/>
                <w14:lumOff w14:val="5000"/>
              </w14:schemeClr>
            </w14:solidFill>
          </w14:textFill>
        </w:rPr>
        <w:t>5</w:t>
      </w:r>
      <w:r>
        <w:rPr>
          <w:snapToGrid w:val="0"/>
          <w:color w:val="0D0D0D" w:themeColor="text1" w:themeTint="F2"/>
          <w:kern w:val="0"/>
          <w:szCs w:val="24"/>
          <w14:textFill>
            <w14:solidFill>
              <w14:schemeClr w14:val="tx1">
                <w14:lumMod w14:val="95000"/>
                <w14:lumOff w14:val="5000"/>
              </w14:schemeClr>
            </w14:solidFill>
          </w14:textFill>
        </w:rPr>
        <w:t>.0.4确定。</w:t>
      </w:r>
    </w:p>
    <w:p w14:paraId="56AF4D37">
      <w:pPr>
        <w:ind w:right="697" w:rightChars="332" w:firstLine="360"/>
        <w:jc w:val="center"/>
        <w:rPr>
          <w:rFonts w:eastAsia="黑体"/>
          <w:snapToGrid w:val="0"/>
          <w:color w:val="0D0D0D" w:themeColor="text1" w:themeTint="F2"/>
          <w:kern w:val="0"/>
          <w:sz w:val="18"/>
          <w:szCs w:val="18"/>
          <w14:textFill>
            <w14:solidFill>
              <w14:schemeClr w14:val="tx1">
                <w14:lumMod w14:val="95000"/>
                <w14:lumOff w14:val="5000"/>
              </w14:schemeClr>
            </w14:solidFill>
          </w14:textFill>
        </w:rPr>
      </w:pPr>
      <w:r>
        <w:rPr>
          <w:rFonts w:eastAsia="黑体"/>
          <w:snapToGrid w:val="0"/>
          <w:color w:val="0D0D0D" w:themeColor="text1" w:themeTint="F2"/>
          <w:kern w:val="0"/>
          <w:sz w:val="18"/>
          <w:szCs w:val="18"/>
          <w14:textFill>
            <w14:solidFill>
              <w14:schemeClr w14:val="tx1">
                <w14:lumMod w14:val="95000"/>
                <w14:lumOff w14:val="5000"/>
              </w14:schemeClr>
            </w14:solidFill>
          </w14:textFill>
        </w:rPr>
        <w:t>表 5.</w:t>
      </w:r>
      <w:r>
        <w:rPr>
          <w:rFonts w:hint="eastAsia" w:eastAsia="黑体"/>
          <w:snapToGrid w:val="0"/>
          <w:color w:val="0D0D0D" w:themeColor="text1" w:themeTint="F2"/>
          <w:kern w:val="0"/>
          <w:sz w:val="18"/>
          <w:szCs w:val="18"/>
          <w14:textFill>
            <w14:solidFill>
              <w14:schemeClr w14:val="tx1">
                <w14:lumMod w14:val="95000"/>
                <w14:lumOff w14:val="5000"/>
              </w14:schemeClr>
            </w14:solidFill>
          </w14:textFill>
        </w:rPr>
        <w:t>0.4</w:t>
      </w:r>
      <w:r>
        <w:rPr>
          <w:rFonts w:eastAsia="黑体"/>
          <w:snapToGrid w:val="0"/>
          <w:color w:val="0D0D0D" w:themeColor="text1" w:themeTint="F2"/>
          <w:kern w:val="0"/>
          <w:sz w:val="18"/>
          <w:szCs w:val="18"/>
          <w14:textFill>
            <w14:solidFill>
              <w14:schemeClr w14:val="tx1">
                <w14:lumMod w14:val="95000"/>
                <w14:lumOff w14:val="5000"/>
              </w14:schemeClr>
            </w14:solidFill>
          </w14:textFill>
        </w:rPr>
        <w:t xml:space="preserve"> </w:t>
      </w:r>
      <w:r>
        <w:rPr>
          <w:rFonts w:hint="eastAsia" w:eastAsia="黑体"/>
          <w:snapToGrid w:val="0"/>
          <w:color w:val="0D0D0D" w:themeColor="text1" w:themeTint="F2"/>
          <w:kern w:val="0"/>
          <w:sz w:val="18"/>
          <w:szCs w:val="18"/>
          <w14:textFill>
            <w14:solidFill>
              <w14:schemeClr w14:val="tx1">
                <w14:lumMod w14:val="95000"/>
                <w14:lumOff w14:val="5000"/>
              </w14:schemeClr>
            </w14:solidFill>
          </w14:textFill>
        </w:rPr>
        <w:t>水胶比选用范围</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1170"/>
        <w:gridCol w:w="1100"/>
        <w:gridCol w:w="1039"/>
        <w:gridCol w:w="1146"/>
        <w:gridCol w:w="1146"/>
        <w:gridCol w:w="925"/>
      </w:tblGrid>
      <w:tr w14:paraId="0FC9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pct"/>
            <w:vAlign w:val="center"/>
          </w:tcPr>
          <w:p w14:paraId="1E321C83">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rFonts w:hint="eastAsia"/>
                <w:color w:val="0D0D0D" w:themeColor="text1" w:themeTint="F2"/>
                <w:sz w:val="18"/>
                <w:szCs w:val="18"/>
                <w14:textFill>
                  <w14:solidFill>
                    <w14:schemeClr w14:val="tx1">
                      <w14:lumMod w14:val="95000"/>
                      <w14:lumOff w14:val="5000"/>
                    </w14:schemeClr>
                  </w14:solidFill>
                </w14:textFill>
              </w:rPr>
              <w:t>胶结砂砾石强度等级</w:t>
            </w:r>
          </w:p>
        </w:tc>
        <w:tc>
          <w:tcPr>
            <w:tcW w:w="639" w:type="pct"/>
            <w:vAlign w:val="center"/>
          </w:tcPr>
          <w:p w14:paraId="037C85CA">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4</w:t>
            </w:r>
          </w:p>
        </w:tc>
        <w:tc>
          <w:tcPr>
            <w:tcW w:w="609" w:type="pct"/>
            <w:vAlign w:val="center"/>
          </w:tcPr>
          <w:p w14:paraId="5B2552B3">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6</w:t>
            </w:r>
          </w:p>
        </w:tc>
        <w:tc>
          <w:tcPr>
            <w:tcW w:w="609" w:type="pct"/>
            <w:vAlign w:val="center"/>
          </w:tcPr>
          <w:p w14:paraId="41E27F55">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8</w:t>
            </w:r>
          </w:p>
        </w:tc>
        <w:tc>
          <w:tcPr>
            <w:tcW w:w="672" w:type="pct"/>
            <w:vAlign w:val="center"/>
          </w:tcPr>
          <w:p w14:paraId="293BC5B5">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10</w:t>
            </w:r>
          </w:p>
        </w:tc>
        <w:tc>
          <w:tcPr>
            <w:tcW w:w="672" w:type="pct"/>
            <w:vAlign w:val="center"/>
          </w:tcPr>
          <w:p w14:paraId="751C84D2">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15</w:t>
            </w:r>
          </w:p>
        </w:tc>
        <w:tc>
          <w:tcPr>
            <w:tcW w:w="672" w:type="pct"/>
            <w:vAlign w:val="center"/>
          </w:tcPr>
          <w:p w14:paraId="622064D9">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C</w:t>
            </w:r>
            <w:r>
              <w:rPr>
                <w:color w:val="0D0D0D" w:themeColor="text1" w:themeTint="F2"/>
                <w:sz w:val="18"/>
                <w:szCs w:val="18"/>
                <w:vertAlign w:val="subscript"/>
                <w14:textFill>
                  <w14:solidFill>
                    <w14:schemeClr w14:val="tx1">
                      <w14:lumMod w14:val="95000"/>
                      <w14:lumOff w14:val="5000"/>
                    </w14:schemeClr>
                  </w14:solidFill>
                </w14:textFill>
              </w:rPr>
              <w:t>180</w:t>
            </w:r>
            <w:r>
              <w:rPr>
                <w:color w:val="0D0D0D" w:themeColor="text1" w:themeTint="F2"/>
                <w:sz w:val="18"/>
                <w:szCs w:val="18"/>
                <w14:textFill>
                  <w14:solidFill>
                    <w14:schemeClr w14:val="tx1">
                      <w14:lumMod w14:val="95000"/>
                      <w14:lumOff w14:val="5000"/>
                    </w14:schemeClr>
                  </w14:solidFill>
                </w14:textFill>
              </w:rPr>
              <w:t>20</w:t>
            </w:r>
          </w:p>
        </w:tc>
      </w:tr>
      <w:tr w14:paraId="3D11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4" w:type="pct"/>
            <w:vAlign w:val="center"/>
          </w:tcPr>
          <w:p w14:paraId="495970D4">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rFonts w:hint="eastAsia"/>
                <w:color w:val="0D0D0D" w:themeColor="text1" w:themeTint="F2"/>
                <w:sz w:val="18"/>
                <w:szCs w:val="18"/>
                <w14:textFill>
                  <w14:solidFill>
                    <w14:schemeClr w14:val="tx1">
                      <w14:lumMod w14:val="95000"/>
                      <w14:lumOff w14:val="5000"/>
                    </w14:schemeClr>
                  </w14:solidFill>
                </w14:textFill>
              </w:rPr>
              <w:t>水胶比</w:t>
            </w:r>
            <w:r>
              <w:rPr>
                <w:color w:val="0D0D0D" w:themeColor="text1" w:themeTint="F2"/>
                <w:sz w:val="18"/>
                <w:szCs w:val="18"/>
                <w14:textFill>
                  <w14:solidFill>
                    <w14:schemeClr w14:val="tx1">
                      <w14:lumMod w14:val="95000"/>
                      <w14:lumOff w14:val="5000"/>
                    </w14:schemeClr>
                  </w14:solidFill>
                </w14:textFill>
              </w:rPr>
              <w:t>范围</w:t>
            </w:r>
          </w:p>
        </w:tc>
        <w:tc>
          <w:tcPr>
            <w:tcW w:w="686" w:type="pct"/>
            <w:vAlign w:val="center"/>
          </w:tcPr>
          <w:p w14:paraId="074A3F46">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1.0~1.5</w:t>
            </w:r>
          </w:p>
        </w:tc>
        <w:tc>
          <w:tcPr>
            <w:tcW w:w="645" w:type="pct"/>
            <w:vAlign w:val="center"/>
          </w:tcPr>
          <w:p w14:paraId="466A1421">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0.8~1.4</w:t>
            </w:r>
          </w:p>
        </w:tc>
        <w:tc>
          <w:tcPr>
            <w:tcW w:w="609" w:type="pct"/>
            <w:vAlign w:val="center"/>
          </w:tcPr>
          <w:p w14:paraId="6E931C90">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0.7~1.3</w:t>
            </w:r>
          </w:p>
        </w:tc>
        <w:tc>
          <w:tcPr>
            <w:tcW w:w="672" w:type="pct"/>
            <w:vAlign w:val="center"/>
          </w:tcPr>
          <w:p w14:paraId="1CBBB3B4">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0.6~1.1</w:t>
            </w:r>
          </w:p>
        </w:tc>
        <w:tc>
          <w:tcPr>
            <w:tcW w:w="672" w:type="pct"/>
            <w:vAlign w:val="center"/>
          </w:tcPr>
          <w:p w14:paraId="67E9CFBD">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0.5~0.9</w:t>
            </w:r>
          </w:p>
        </w:tc>
        <w:tc>
          <w:tcPr>
            <w:tcW w:w="542" w:type="pct"/>
            <w:vAlign w:val="center"/>
          </w:tcPr>
          <w:p w14:paraId="0FD36D37">
            <w:pPr>
              <w:spacing w:line="240" w:lineRule="auto"/>
              <w:ind w:firstLine="0"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0.4~0.7</w:t>
            </w:r>
          </w:p>
        </w:tc>
      </w:tr>
    </w:tbl>
    <w:p w14:paraId="7E536233">
      <w:pPr>
        <w:ind w:firstLine="420"/>
        <w:rPr>
          <w:snapToGrid w:val="0"/>
          <w:color w:val="0D0D0D" w:themeColor="text1" w:themeTint="F2"/>
          <w:kern w:val="0"/>
          <w:szCs w:val="24"/>
          <w14:textFill>
            <w14:solidFill>
              <w14:schemeClr w14:val="tx1">
                <w14:lumMod w14:val="95000"/>
                <w14:lumOff w14:val="5000"/>
              </w14:schemeClr>
            </w14:solidFill>
          </w14:textFill>
        </w:rPr>
      </w:pPr>
      <w:r>
        <w:rPr>
          <w:rFonts w:eastAsia="黑体"/>
          <w:snapToGrid w:val="0"/>
          <w:color w:val="0D0D0D" w:themeColor="text1" w:themeTint="F2"/>
          <w:kern w:val="0"/>
          <w:szCs w:val="24"/>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每种胶凝材料用量下应确定3</w:t>
      </w:r>
      <w:r>
        <w:rPr>
          <w:snapToGrid w:val="0"/>
          <w:color w:val="0D0D0D" w:themeColor="text1" w:themeTint="F2"/>
          <w:kern w:val="0"/>
          <w:szCs w:val="24"/>
          <w14:textFill>
            <w14:solidFill>
              <w14:schemeClr w14:val="tx1">
                <w14:lumMod w14:val="95000"/>
                <w14:lumOff w14:val="5000"/>
              </w14:schemeClr>
            </w14:solidFill>
          </w14:textFill>
        </w:rPr>
        <w:t>~5中水胶比。</w:t>
      </w:r>
    </w:p>
    <w:p w14:paraId="7AB4F482">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5.0.</w:t>
      </w:r>
      <w:r>
        <w:rPr>
          <w:b/>
          <w:bCs/>
          <w:color w:val="0D0D0D" w:themeColor="text1" w:themeTint="F2"/>
          <w:szCs w:val="21"/>
          <w14:textFill>
            <w14:solidFill>
              <w14:schemeClr w14:val="tx1">
                <w14:lumMod w14:val="95000"/>
                <w14:lumOff w14:val="5000"/>
              </w14:schemeClr>
            </w14:solidFill>
          </w14:textFill>
        </w:rPr>
        <w:t>8</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确定“配合比控制范围”。在每个胶凝材料用量下，分别按最粗级配、最细级配和平均级配的砂砾石比例，</w:t>
      </w:r>
      <w:r>
        <w:rPr>
          <w:rFonts w:hint="eastAsia"/>
          <w:color w:val="0D0D0D" w:themeColor="text1" w:themeTint="F2"/>
          <w:szCs w:val="21"/>
          <w14:textFill>
            <w14:solidFill>
              <w14:schemeClr w14:val="tx1">
                <w14:lumMod w14:val="95000"/>
                <w14:lumOff w14:val="5000"/>
              </w14:schemeClr>
            </w14:solidFill>
          </w14:textFill>
        </w:rPr>
        <w:t>根据水胶比，计算用水量并</w:t>
      </w:r>
      <w:r>
        <w:rPr>
          <w:color w:val="0D0D0D" w:themeColor="text1" w:themeTint="F2"/>
          <w:szCs w:val="21"/>
          <w14:textFill>
            <w14:solidFill>
              <w14:schemeClr w14:val="tx1">
                <w14:lumMod w14:val="95000"/>
                <w14:lumOff w14:val="5000"/>
              </w14:schemeClr>
            </w14:solidFill>
          </w14:textFill>
        </w:rPr>
        <w:t>进行强度试验，建立不同级配下28d龄期及设计龄期的抗压强度与用水量的关系，确定满足施工VC值或坍落度要求的适宜用水量范围以及与之相对应的适宜强度范围，即“配合比控制范围”。</w:t>
      </w:r>
    </w:p>
    <w:p w14:paraId="0B150EB9">
      <w:pPr>
        <w:autoSpaceDE w:val="0"/>
        <w:autoSpaceDN w:val="0"/>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5.0.</w:t>
      </w:r>
      <w:r>
        <w:rPr>
          <w:b/>
          <w:bCs/>
          <w:color w:val="0D0D0D" w:themeColor="text1" w:themeTint="F2"/>
          <w:szCs w:val="21"/>
          <w14:textFill>
            <w14:solidFill>
              <w14:schemeClr w14:val="tx1">
                <w14:lumMod w14:val="95000"/>
                <w14:lumOff w14:val="5000"/>
              </w14:schemeClr>
            </w14:solidFill>
          </w14:textFill>
        </w:rPr>
        <w:t>9</w:t>
      </w:r>
      <w:r>
        <w:rPr>
          <w:rFonts w:hint="eastAsia"/>
          <w:b/>
          <w:bCs/>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根据不同胶凝材料用量下的“配合比控制范围”选定最终胶凝材料用量。该胶凝材料用量下，“配合比控制范围”中平均级配胶结砂砾石设计龄期强度最小值应满足配制强度要求，同时“配合比控制范围”中最细级配胶结砂砾石设计龄期强度最小值不应低于设计强度。</w:t>
      </w:r>
    </w:p>
    <w:p w14:paraId="41E28D79">
      <w:pPr>
        <w:spacing w:line="360" w:lineRule="auto"/>
        <w:ind w:firstLine="420"/>
        <w:jc w:val="left"/>
        <w:rPr>
          <w:color w:val="0D0D0D" w:themeColor="text1" w:themeTint="F2"/>
          <w:szCs w:val="21"/>
          <w14:textFill>
            <w14:solidFill>
              <w14:schemeClr w14:val="tx1">
                <w14:lumMod w14:val="95000"/>
                <w14:lumOff w14:val="5000"/>
              </w14:schemeClr>
            </w14:solidFill>
          </w14:textFill>
        </w:rPr>
      </w:pPr>
    </w:p>
    <w:p w14:paraId="003AC4C9">
      <w:pPr>
        <w:pStyle w:val="2"/>
        <w:spacing w:before="156" w:after="156"/>
        <w:ind w:firstLine="562"/>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bookmarkStart w:id="23" w:name="_Toc64733484"/>
    </w:p>
    <w:bookmarkEnd w:id="23"/>
    <w:p w14:paraId="75074770">
      <w:pPr>
        <w:pStyle w:val="2"/>
        <w:spacing w:before="156" w:after="156"/>
        <w:ind w:firstLine="562"/>
        <w:rPr>
          <w:i/>
          <w:color w:val="0D0D0D" w:themeColor="text1" w:themeTint="F2"/>
          <w14:textFill>
            <w14:solidFill>
              <w14:schemeClr w14:val="tx1">
                <w14:lumMod w14:val="95000"/>
                <w14:lumOff w14:val="5000"/>
              </w14:schemeClr>
            </w14:solidFill>
          </w14:textFill>
        </w:rPr>
      </w:pPr>
      <w:bookmarkStart w:id="24" w:name="_Toc199246894"/>
      <w:bookmarkStart w:id="25" w:name="_Toc64733485"/>
      <w:bookmarkStart w:id="26" w:name="_Toc199247351"/>
      <w:r>
        <w:rPr>
          <w:color w:val="0D0D0D" w:themeColor="text1" w:themeTint="F2"/>
          <w14:textFill>
            <w14:solidFill>
              <w14:schemeClr w14:val="tx1">
                <w14:lumMod w14:val="95000"/>
                <w14:lumOff w14:val="5000"/>
              </w14:schemeClr>
            </w14:solidFill>
          </w14:textFill>
        </w:rPr>
        <w:t>6 配合比的试配、调整和确定</w:t>
      </w:r>
      <w:bookmarkEnd w:id="24"/>
      <w:bookmarkEnd w:id="25"/>
      <w:bookmarkEnd w:id="26"/>
    </w:p>
    <w:p w14:paraId="44098043">
      <w:pPr>
        <w:ind w:firstLine="0" w:firstLineChars="0"/>
        <w:rPr>
          <w:rFonts w:eastAsia="黑体"/>
          <w:snapToGrid w:val="0"/>
          <w:color w:val="0D0D0D" w:themeColor="text1" w:themeTint="F2"/>
          <w:kern w:val="0"/>
          <w:szCs w:val="24"/>
          <w14:textFill>
            <w14:solidFill>
              <w14:schemeClr w14:val="tx1">
                <w14:lumMod w14:val="95000"/>
                <w14:lumOff w14:val="5000"/>
              </w14:schemeClr>
            </w14:solidFill>
          </w14:textFill>
        </w:rPr>
      </w:pPr>
      <w:bookmarkStart w:id="27" w:name="_Toc101670048"/>
      <w:bookmarkStart w:id="28" w:name="_Toc530413671"/>
      <w:bookmarkStart w:id="29" w:name="_Toc101627522"/>
      <w:r>
        <w:rPr>
          <w:rFonts w:eastAsia="黑体"/>
          <w:b/>
          <w:bCs/>
          <w:snapToGrid w:val="0"/>
          <w:color w:val="0D0D0D" w:themeColor="text1" w:themeTint="F2"/>
          <w:kern w:val="0"/>
          <w:szCs w:val="24"/>
          <w14:textFill>
            <w14:solidFill>
              <w14:schemeClr w14:val="tx1">
                <w14:lumMod w14:val="95000"/>
                <w14:lumOff w14:val="5000"/>
              </w14:schemeClr>
            </w14:solidFill>
          </w14:textFill>
        </w:rPr>
        <w:t>6.</w:t>
      </w:r>
      <w:r>
        <w:rPr>
          <w:rFonts w:hint="eastAsia" w:eastAsia="黑体"/>
          <w:b/>
          <w:bCs/>
          <w:snapToGrid w:val="0"/>
          <w:color w:val="0D0D0D" w:themeColor="text1" w:themeTint="F2"/>
          <w:kern w:val="0"/>
          <w:szCs w:val="24"/>
          <w14:textFill>
            <w14:solidFill>
              <w14:schemeClr w14:val="tx1">
                <w14:lumMod w14:val="95000"/>
                <w14:lumOff w14:val="5000"/>
              </w14:schemeClr>
            </w14:solidFill>
          </w14:textFill>
        </w:rPr>
        <w:t>0.</w:t>
      </w:r>
      <w:r>
        <w:rPr>
          <w:rFonts w:eastAsia="黑体"/>
          <w:b/>
          <w:bCs/>
          <w:snapToGrid w:val="0"/>
          <w:color w:val="0D0D0D" w:themeColor="text1" w:themeTint="F2"/>
          <w:kern w:val="0"/>
          <w:szCs w:val="24"/>
          <w14:textFill>
            <w14:solidFill>
              <w14:schemeClr w14:val="tx1">
                <w14:lumMod w14:val="95000"/>
                <w14:lumOff w14:val="5000"/>
              </w14:schemeClr>
            </w14:solidFill>
          </w14:textFill>
        </w:rPr>
        <w:t>1</w:t>
      </w:r>
      <w:r>
        <w:rPr>
          <w:rFonts w:eastAsia="黑体"/>
          <w:snapToGrid w:val="0"/>
          <w:color w:val="0D0D0D" w:themeColor="text1" w:themeTint="F2"/>
          <w:kern w:val="0"/>
          <w:szCs w:val="24"/>
          <w14:textFill>
            <w14:solidFill>
              <w14:schemeClr w14:val="tx1">
                <w14:lumMod w14:val="95000"/>
                <w14:lumOff w14:val="5000"/>
              </w14:schemeClr>
            </w14:solidFill>
          </w14:textFill>
        </w:rPr>
        <w:t xml:space="preserve"> </w:t>
      </w:r>
      <w:bookmarkEnd w:id="27"/>
      <w:bookmarkEnd w:id="28"/>
      <w:bookmarkEnd w:id="29"/>
      <w:r>
        <w:rPr>
          <w:snapToGrid w:val="0"/>
          <w:color w:val="0D0D0D" w:themeColor="text1" w:themeTint="F2"/>
          <w:kern w:val="0"/>
          <w:szCs w:val="24"/>
          <w14:textFill>
            <w14:solidFill>
              <w14:schemeClr w14:val="tx1">
                <w14:lumMod w14:val="95000"/>
                <w14:lumOff w14:val="5000"/>
              </w14:schemeClr>
            </w14:solidFill>
          </w14:textFill>
        </w:rPr>
        <w:t>配合比试配应按下列规定执行：</w:t>
      </w:r>
    </w:p>
    <w:p w14:paraId="3B8A5738">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1</w:t>
      </w:r>
      <w:r>
        <w:rPr>
          <w:rFonts w:eastAsia="黑体"/>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 xml:space="preserve"> 在胶结砂砾石配合比试配时，应采用工程中实际使用的原材料。</w:t>
      </w:r>
    </w:p>
    <w:p w14:paraId="4540C0C2">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2</w:t>
      </w:r>
      <w:r>
        <w:rPr>
          <w:snapToGrid w:val="0"/>
          <w:color w:val="0D0D0D" w:themeColor="text1" w:themeTint="F2"/>
          <w:kern w:val="0"/>
          <w:szCs w:val="24"/>
          <w14:textFill>
            <w14:solidFill>
              <w14:schemeClr w14:val="tx1">
                <w14:lumMod w14:val="95000"/>
                <w14:lumOff w14:val="5000"/>
              </w14:schemeClr>
            </w14:solidFill>
          </w14:textFill>
        </w:rPr>
        <w:t xml:space="preserve">  在胶结砂砾石试配时，每盘胶结砂砾石的最小拌和量应符合表6.</w:t>
      </w:r>
      <w:r>
        <w:rPr>
          <w:rFonts w:hint="eastAsia"/>
          <w:snapToGrid w:val="0"/>
          <w:color w:val="0D0D0D" w:themeColor="text1" w:themeTint="F2"/>
          <w:kern w:val="0"/>
          <w:szCs w:val="24"/>
          <w14:textFill>
            <w14:solidFill>
              <w14:schemeClr w14:val="tx1">
                <w14:lumMod w14:val="95000"/>
                <w14:lumOff w14:val="5000"/>
              </w14:schemeClr>
            </w14:solidFill>
          </w14:textFill>
        </w:rPr>
        <w:t>0.</w:t>
      </w:r>
      <w:r>
        <w:rPr>
          <w:snapToGrid w:val="0"/>
          <w:color w:val="0D0D0D" w:themeColor="text1" w:themeTint="F2"/>
          <w:kern w:val="0"/>
          <w:szCs w:val="24"/>
          <w14:textFill>
            <w14:solidFill>
              <w14:schemeClr w14:val="tx1">
                <w14:lumMod w14:val="95000"/>
                <w14:lumOff w14:val="5000"/>
              </w14:schemeClr>
            </w14:solidFill>
          </w14:textFill>
        </w:rPr>
        <w:t>1的规定，当采用机械拌和时，其拌和量不宜小于搅拌机额定拌和量的1/4。</w:t>
      </w:r>
    </w:p>
    <w:p w14:paraId="602F9BE8">
      <w:pPr>
        <w:spacing w:before="156" w:beforeLines="50"/>
        <w:ind w:firstLine="360"/>
        <w:jc w:val="center"/>
        <w:rPr>
          <w:rFonts w:eastAsia="黑体"/>
          <w:snapToGrid w:val="0"/>
          <w:color w:val="0D0D0D" w:themeColor="text1" w:themeTint="F2"/>
          <w:kern w:val="0"/>
          <w:sz w:val="18"/>
          <w:szCs w:val="18"/>
          <w14:textFill>
            <w14:solidFill>
              <w14:schemeClr w14:val="tx1">
                <w14:lumMod w14:val="95000"/>
                <w14:lumOff w14:val="5000"/>
              </w14:schemeClr>
            </w14:solidFill>
          </w14:textFill>
        </w:rPr>
      </w:pPr>
      <w:r>
        <w:rPr>
          <w:rFonts w:eastAsia="黑体"/>
          <w:snapToGrid w:val="0"/>
          <w:color w:val="0D0D0D" w:themeColor="text1" w:themeTint="F2"/>
          <w:kern w:val="0"/>
          <w:sz w:val="18"/>
          <w:szCs w:val="18"/>
          <w14:textFill>
            <w14:solidFill>
              <w14:schemeClr w14:val="tx1">
                <w14:lumMod w14:val="95000"/>
                <w14:lumOff w14:val="5000"/>
              </w14:schemeClr>
            </w14:solidFill>
          </w14:textFill>
        </w:rPr>
        <w:t>表</w:t>
      </w:r>
      <w:r>
        <w:rPr>
          <w:snapToGrid w:val="0"/>
          <w:color w:val="0D0D0D" w:themeColor="text1" w:themeTint="F2"/>
          <w:kern w:val="0"/>
          <w:sz w:val="18"/>
          <w:szCs w:val="24"/>
          <w14:textFill>
            <w14:solidFill>
              <w14:schemeClr w14:val="tx1">
                <w14:lumMod w14:val="95000"/>
                <w14:lumOff w14:val="5000"/>
              </w14:schemeClr>
            </w14:solidFill>
          </w14:textFill>
        </w:rPr>
        <w:t>6.</w:t>
      </w:r>
      <w:r>
        <w:rPr>
          <w:rFonts w:hint="eastAsia"/>
          <w:snapToGrid w:val="0"/>
          <w:color w:val="0D0D0D" w:themeColor="text1" w:themeTint="F2"/>
          <w:kern w:val="0"/>
          <w:sz w:val="18"/>
          <w:szCs w:val="24"/>
          <w14:textFill>
            <w14:solidFill>
              <w14:schemeClr w14:val="tx1">
                <w14:lumMod w14:val="95000"/>
                <w14:lumOff w14:val="5000"/>
              </w14:schemeClr>
            </w14:solidFill>
          </w14:textFill>
        </w:rPr>
        <w:t>0.</w:t>
      </w:r>
      <w:r>
        <w:rPr>
          <w:snapToGrid w:val="0"/>
          <w:color w:val="0D0D0D" w:themeColor="text1" w:themeTint="F2"/>
          <w:kern w:val="0"/>
          <w:sz w:val="18"/>
          <w:szCs w:val="24"/>
          <w14:textFill>
            <w14:solidFill>
              <w14:schemeClr w14:val="tx1">
                <w14:lumMod w14:val="95000"/>
                <w14:lumOff w14:val="5000"/>
              </w14:schemeClr>
            </w14:solidFill>
          </w14:textFill>
        </w:rPr>
        <w:t>1</w:t>
      </w:r>
      <w:r>
        <w:rPr>
          <w:rFonts w:eastAsia="黑体"/>
          <w:snapToGrid w:val="0"/>
          <w:color w:val="0D0D0D" w:themeColor="text1" w:themeTint="F2"/>
          <w:kern w:val="0"/>
          <w:sz w:val="18"/>
          <w:szCs w:val="18"/>
          <w14:textFill>
            <w14:solidFill>
              <w14:schemeClr w14:val="tx1">
                <w14:lumMod w14:val="95000"/>
                <w14:lumOff w14:val="5000"/>
              </w14:schemeClr>
            </w14:solidFill>
          </w14:textFill>
        </w:rPr>
        <w:t xml:space="preserve">  胶结砂砾石试配的最小拌和量</w:t>
      </w:r>
    </w:p>
    <w:tbl>
      <w:tblPr>
        <w:tblStyle w:val="25"/>
        <w:tblW w:w="45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0"/>
        <w:gridCol w:w="3871"/>
      </w:tblGrid>
      <w:tr w14:paraId="7635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Align w:val="center"/>
          </w:tcPr>
          <w:p w14:paraId="1D7CED6C">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骨料最大粒径（mm）</w:t>
            </w:r>
          </w:p>
        </w:tc>
        <w:tc>
          <w:tcPr>
            <w:tcW w:w="2500" w:type="pct"/>
            <w:vAlign w:val="center"/>
          </w:tcPr>
          <w:p w14:paraId="5CAD0F6A">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拌和物体积（L）</w:t>
            </w:r>
          </w:p>
        </w:tc>
      </w:tr>
      <w:tr w14:paraId="13D1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Align w:val="center"/>
          </w:tcPr>
          <w:p w14:paraId="749C5604">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20</w:t>
            </w:r>
          </w:p>
        </w:tc>
        <w:tc>
          <w:tcPr>
            <w:tcW w:w="2500" w:type="pct"/>
            <w:vAlign w:val="center"/>
          </w:tcPr>
          <w:p w14:paraId="2C9CBB7C">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15</w:t>
            </w:r>
          </w:p>
        </w:tc>
      </w:tr>
      <w:tr w14:paraId="7734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Align w:val="center"/>
          </w:tcPr>
          <w:p w14:paraId="5F2040C3">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40</w:t>
            </w:r>
          </w:p>
        </w:tc>
        <w:tc>
          <w:tcPr>
            <w:tcW w:w="2500" w:type="pct"/>
            <w:vAlign w:val="center"/>
          </w:tcPr>
          <w:p w14:paraId="73614F87">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25</w:t>
            </w:r>
          </w:p>
        </w:tc>
      </w:tr>
      <w:tr w14:paraId="616C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Align w:val="center"/>
          </w:tcPr>
          <w:p w14:paraId="458D8E15">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≥80</w:t>
            </w:r>
          </w:p>
        </w:tc>
        <w:tc>
          <w:tcPr>
            <w:tcW w:w="2500" w:type="pct"/>
            <w:vAlign w:val="center"/>
          </w:tcPr>
          <w:p w14:paraId="6290A08E">
            <w:pPr>
              <w:ind w:firstLine="300"/>
              <w:jc w:val="center"/>
              <w:rPr>
                <w:snapToGrid w:val="0"/>
                <w:color w:val="0D0D0D" w:themeColor="text1" w:themeTint="F2"/>
                <w:kern w:val="0"/>
                <w:sz w:val="15"/>
                <w:szCs w:val="18"/>
                <w14:textFill>
                  <w14:solidFill>
                    <w14:schemeClr w14:val="tx1">
                      <w14:lumMod w14:val="95000"/>
                      <w14:lumOff w14:val="5000"/>
                    </w14:schemeClr>
                  </w14:solidFill>
                </w14:textFill>
              </w:rPr>
            </w:pPr>
            <w:r>
              <w:rPr>
                <w:snapToGrid w:val="0"/>
                <w:color w:val="0D0D0D" w:themeColor="text1" w:themeTint="F2"/>
                <w:kern w:val="0"/>
                <w:sz w:val="15"/>
                <w:szCs w:val="18"/>
                <w14:textFill>
                  <w14:solidFill>
                    <w14:schemeClr w14:val="tx1">
                      <w14:lumMod w14:val="95000"/>
                      <w14:lumOff w14:val="5000"/>
                    </w14:schemeClr>
                  </w14:solidFill>
                </w14:textFill>
              </w:rPr>
              <w:t>40</w:t>
            </w:r>
          </w:p>
        </w:tc>
      </w:tr>
    </w:tbl>
    <w:p w14:paraId="14F0B7EA">
      <w:pPr>
        <w:ind w:firstLine="420"/>
        <w:rPr>
          <w:snapToGrid w:val="0"/>
          <w:color w:val="0D0D0D" w:themeColor="text1" w:themeTint="F2"/>
          <w:kern w:val="0"/>
          <w:szCs w:val="24"/>
          <w14:textFill>
            <w14:solidFill>
              <w14:schemeClr w14:val="tx1">
                <w14:lumMod w14:val="95000"/>
                <w14:lumOff w14:val="5000"/>
              </w14:schemeClr>
            </w14:solidFill>
          </w14:textFill>
        </w:rPr>
      </w:pPr>
    </w:p>
    <w:p w14:paraId="71CC44F3">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 xml:space="preserve">  按计算的配合比进行试拌，根据坍落度或VC值、含气量、泌水、离析等情况判断胶结砂砾石拌和物的工作性，用选定的胶凝材料用量和砂砾石用量，调整用水量和外加剂掺量等至胶结砂砾石拌和物满足工作性要求。然后提出胶结砂砾石试验用配合比。</w:t>
      </w:r>
    </w:p>
    <w:p w14:paraId="447E2047">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4</w:t>
      </w:r>
      <w:r>
        <w:rPr>
          <w:snapToGrid w:val="0"/>
          <w:color w:val="0D0D0D" w:themeColor="text1" w:themeTint="F2"/>
          <w:kern w:val="0"/>
          <w:szCs w:val="24"/>
          <w14:textFill>
            <w14:solidFill>
              <w14:schemeClr w14:val="tx1">
                <w14:lumMod w14:val="95000"/>
                <w14:lumOff w14:val="5000"/>
              </w14:schemeClr>
            </w14:solidFill>
          </w14:textFill>
        </w:rPr>
        <w:t xml:space="preserve">  当不同胶凝材料用量的胶结砂砾石拌和物坍落度或VC值与要求值的差超过允许偏差时，可通过增、减用水量进行调整。</w:t>
      </w:r>
    </w:p>
    <w:p w14:paraId="35A92354">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5</w:t>
      </w:r>
      <w:r>
        <w:rPr>
          <w:snapToGrid w:val="0"/>
          <w:color w:val="0D0D0D" w:themeColor="text1" w:themeTint="F2"/>
          <w:kern w:val="0"/>
          <w:szCs w:val="24"/>
          <w14:textFill>
            <w14:solidFill>
              <w14:schemeClr w14:val="tx1">
                <w14:lumMod w14:val="95000"/>
                <w14:lumOff w14:val="5000"/>
              </w14:schemeClr>
            </w14:solidFill>
          </w14:textFill>
        </w:rPr>
        <w:t xml:space="preserve">  根据试配的配合比成型胶结砂砾石立方体抗压强度试件，标准养护到规定龄期进行抗压强度试验。根据试验得出胶结砂砾石抗压强度与其对应的水胶比关系，用作图法或计算法求出与胶结砂砾石配制强度（</w:t>
      </w:r>
      <w:r>
        <w:rPr>
          <w:i/>
          <w:iCs/>
          <w:snapToGrid w:val="0"/>
          <w:color w:val="0D0D0D" w:themeColor="text1" w:themeTint="F2"/>
          <w:kern w:val="0"/>
          <w:szCs w:val="24"/>
          <w14:textFill>
            <w14:solidFill>
              <w14:schemeClr w14:val="tx1">
                <w14:lumMod w14:val="95000"/>
                <w14:lumOff w14:val="5000"/>
              </w14:schemeClr>
            </w14:solidFill>
          </w14:textFill>
        </w:rPr>
        <w:t>f</w:t>
      </w:r>
      <w:r>
        <w:rPr>
          <w:i/>
          <w:iCs/>
          <w:snapToGrid w:val="0"/>
          <w:color w:val="0D0D0D" w:themeColor="text1" w:themeTint="F2"/>
          <w:kern w:val="0"/>
          <w:szCs w:val="24"/>
          <w:vertAlign w:val="subscript"/>
          <w14:textFill>
            <w14:solidFill>
              <w14:schemeClr w14:val="tx1">
                <w14:lumMod w14:val="95000"/>
                <w14:lumOff w14:val="5000"/>
              </w14:schemeClr>
            </w14:solidFill>
          </w14:textFill>
        </w:rPr>
        <w:t>cu,0</w:t>
      </w:r>
      <w:r>
        <w:rPr>
          <w:snapToGrid w:val="0"/>
          <w:color w:val="0D0D0D" w:themeColor="text1" w:themeTint="F2"/>
          <w:kern w:val="0"/>
          <w:szCs w:val="24"/>
          <w14:textFill>
            <w14:solidFill>
              <w14:schemeClr w14:val="tx1">
                <w14:lumMod w14:val="95000"/>
                <w14:lumOff w14:val="5000"/>
              </w14:schemeClr>
            </w14:solidFill>
          </w14:textFill>
        </w:rPr>
        <w:t>）相对应的水胶比。</w:t>
      </w:r>
    </w:p>
    <w:p w14:paraId="34BD17B2">
      <w:pPr>
        <w:ind w:firstLine="0" w:firstLineChars="0"/>
        <w:rPr>
          <w:rFonts w:eastAsia="黑体"/>
          <w:snapToGrid w:val="0"/>
          <w:color w:val="0D0D0D" w:themeColor="text1" w:themeTint="F2"/>
          <w:kern w:val="0"/>
          <w:szCs w:val="24"/>
          <w14:textFill>
            <w14:solidFill>
              <w14:schemeClr w14:val="tx1">
                <w14:lumMod w14:val="95000"/>
                <w14:lumOff w14:val="5000"/>
              </w14:schemeClr>
            </w14:solidFill>
          </w14:textFill>
        </w:rPr>
      </w:pPr>
      <w:bookmarkStart w:id="30" w:name="_Toc101627523"/>
      <w:bookmarkStart w:id="31" w:name="_Toc530413672"/>
      <w:bookmarkStart w:id="32" w:name="_Toc101670049"/>
      <w:r>
        <w:rPr>
          <w:rFonts w:eastAsia="黑体"/>
          <w:b/>
          <w:bCs/>
          <w:snapToGrid w:val="0"/>
          <w:color w:val="0D0D0D" w:themeColor="text1" w:themeTint="F2"/>
          <w:kern w:val="0"/>
          <w:szCs w:val="24"/>
          <w14:textFill>
            <w14:solidFill>
              <w14:schemeClr w14:val="tx1">
                <w14:lumMod w14:val="95000"/>
                <w14:lumOff w14:val="5000"/>
              </w14:schemeClr>
            </w14:solidFill>
          </w14:textFill>
        </w:rPr>
        <w:t>6.</w:t>
      </w:r>
      <w:r>
        <w:rPr>
          <w:rFonts w:hint="eastAsia" w:eastAsia="黑体"/>
          <w:b/>
          <w:bCs/>
          <w:snapToGrid w:val="0"/>
          <w:color w:val="0D0D0D" w:themeColor="text1" w:themeTint="F2"/>
          <w:kern w:val="0"/>
          <w:szCs w:val="24"/>
          <w14:textFill>
            <w14:solidFill>
              <w14:schemeClr w14:val="tx1">
                <w14:lumMod w14:val="95000"/>
                <w14:lumOff w14:val="5000"/>
              </w14:schemeClr>
            </w14:solidFill>
          </w14:textFill>
        </w:rPr>
        <w:t>0.</w:t>
      </w:r>
      <w:r>
        <w:rPr>
          <w:rFonts w:eastAsia="黑体"/>
          <w:b/>
          <w:bCs/>
          <w:snapToGrid w:val="0"/>
          <w:color w:val="0D0D0D" w:themeColor="text1" w:themeTint="F2"/>
          <w:kern w:val="0"/>
          <w:szCs w:val="24"/>
          <w14:textFill>
            <w14:solidFill>
              <w14:schemeClr w14:val="tx1">
                <w14:lumMod w14:val="95000"/>
                <w14:lumOff w14:val="5000"/>
              </w14:schemeClr>
            </w14:solidFill>
          </w14:textFill>
        </w:rPr>
        <w:t>2</w:t>
      </w:r>
      <w:r>
        <w:rPr>
          <w:rFonts w:eastAsia="黑体"/>
          <w:snapToGrid w:val="0"/>
          <w:color w:val="0D0D0D" w:themeColor="text1" w:themeTint="F2"/>
          <w:kern w:val="0"/>
          <w:szCs w:val="24"/>
          <w14:textFill>
            <w14:solidFill>
              <w14:schemeClr w14:val="tx1">
                <w14:lumMod w14:val="95000"/>
                <w14:lumOff w14:val="5000"/>
              </w14:schemeClr>
            </w14:solidFill>
          </w14:textFill>
        </w:rPr>
        <w:t xml:space="preserve">  </w:t>
      </w:r>
      <w:bookmarkEnd w:id="30"/>
      <w:bookmarkEnd w:id="31"/>
      <w:bookmarkEnd w:id="32"/>
      <w:r>
        <w:rPr>
          <w:snapToGrid w:val="0"/>
          <w:color w:val="0D0D0D" w:themeColor="text1" w:themeTint="F2"/>
          <w:kern w:val="0"/>
          <w:szCs w:val="24"/>
          <w14:textFill>
            <w14:solidFill>
              <w14:schemeClr w14:val="tx1">
                <w14:lumMod w14:val="95000"/>
                <w14:lumOff w14:val="5000"/>
              </w14:schemeClr>
            </w14:solidFill>
          </w14:textFill>
        </w:rPr>
        <w:t>配合比调整应按下列规定执行：</w:t>
      </w:r>
    </w:p>
    <w:p w14:paraId="5542DAC2">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1</w:t>
      </w:r>
      <w:r>
        <w:rPr>
          <w:snapToGrid w:val="0"/>
          <w:color w:val="0D0D0D" w:themeColor="text1" w:themeTint="F2"/>
          <w:kern w:val="0"/>
          <w:szCs w:val="24"/>
          <w14:textFill>
            <w14:solidFill>
              <w14:schemeClr w14:val="tx1">
                <w14:lumMod w14:val="95000"/>
                <w14:lumOff w14:val="5000"/>
              </w14:schemeClr>
            </w14:solidFill>
          </w14:textFill>
        </w:rPr>
        <w:t xml:space="preserve">  按6.</w:t>
      </w:r>
      <w:r>
        <w:rPr>
          <w:rFonts w:hint="eastAsia"/>
          <w:snapToGrid w:val="0"/>
          <w:color w:val="0D0D0D" w:themeColor="text1" w:themeTint="F2"/>
          <w:kern w:val="0"/>
          <w:szCs w:val="24"/>
          <w14:textFill>
            <w14:solidFill>
              <w14:schemeClr w14:val="tx1">
                <w14:lumMod w14:val="95000"/>
                <w14:lumOff w14:val="5000"/>
              </w14:schemeClr>
            </w14:solidFill>
          </w14:textFill>
        </w:rPr>
        <w:t>0.</w:t>
      </w:r>
      <w:r>
        <w:rPr>
          <w:snapToGrid w:val="0"/>
          <w:color w:val="0D0D0D" w:themeColor="text1" w:themeTint="F2"/>
          <w:kern w:val="0"/>
          <w:szCs w:val="24"/>
          <w14:textFill>
            <w14:solidFill>
              <w14:schemeClr w14:val="tx1">
                <w14:lumMod w14:val="95000"/>
                <w14:lumOff w14:val="5000"/>
              </w14:schemeClr>
            </w14:solidFill>
          </w14:textFill>
        </w:rPr>
        <w:t>1</w:t>
      </w:r>
      <w:r>
        <w:rPr>
          <w:rFonts w:hint="eastAsia"/>
          <w:snapToGrid w:val="0"/>
          <w:color w:val="0D0D0D" w:themeColor="text1" w:themeTint="F2"/>
          <w:kern w:val="0"/>
          <w:szCs w:val="24"/>
          <w14:textFill>
            <w14:solidFill>
              <w14:schemeClr w14:val="tx1">
                <w14:lumMod w14:val="95000"/>
                <w14:lumOff w14:val="5000"/>
              </w14:schemeClr>
            </w14:solidFill>
          </w14:textFill>
        </w:rPr>
        <w:t>条</w:t>
      </w:r>
      <w:r>
        <w:rPr>
          <w:snapToGrid w:val="0"/>
          <w:color w:val="0D0D0D" w:themeColor="text1" w:themeTint="F2"/>
          <w:kern w:val="0"/>
          <w:szCs w:val="24"/>
          <w14:textFill>
            <w14:solidFill>
              <w14:schemeClr w14:val="tx1">
                <w14:lumMod w14:val="95000"/>
                <w14:lumOff w14:val="5000"/>
              </w14:schemeClr>
            </w14:solidFill>
          </w14:textFill>
        </w:rPr>
        <w:t>试配结果，计算胶结砂砾石各组成材料用量和比例。</w:t>
      </w:r>
    </w:p>
    <w:p w14:paraId="27519E00">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2</w:t>
      </w:r>
      <w:r>
        <w:rPr>
          <w:snapToGrid w:val="0"/>
          <w:color w:val="0D0D0D" w:themeColor="text1" w:themeTint="F2"/>
          <w:kern w:val="0"/>
          <w:szCs w:val="24"/>
          <w14:textFill>
            <w14:solidFill>
              <w14:schemeClr w14:val="tx1">
                <w14:lumMod w14:val="95000"/>
                <w14:lumOff w14:val="5000"/>
              </w14:schemeClr>
            </w14:solidFill>
          </w14:textFill>
        </w:rPr>
        <w:t xml:space="preserve">  按按</w:t>
      </w:r>
      <w:r>
        <w:rPr>
          <w:bCs/>
          <w:snapToGrid w:val="0"/>
          <w:color w:val="0D0D0D" w:themeColor="text1" w:themeTint="F2"/>
          <w:kern w:val="0"/>
          <w:szCs w:val="24"/>
          <w14:textFill>
            <w14:solidFill>
              <w14:schemeClr w14:val="tx1">
                <w14:lumMod w14:val="95000"/>
                <w14:lumOff w14:val="5000"/>
              </w14:schemeClr>
            </w14:solidFill>
          </w14:textFill>
        </w:rPr>
        <w:t>公式</w:t>
      </w:r>
      <w:r>
        <w:rPr>
          <w:snapToGrid w:val="0"/>
          <w:color w:val="0D0D0D" w:themeColor="text1" w:themeTint="F2"/>
          <w:kern w:val="0"/>
          <w:szCs w:val="24"/>
          <w14:textFill>
            <w14:solidFill>
              <w14:schemeClr w14:val="tx1">
                <w14:lumMod w14:val="95000"/>
                <w14:lumOff w14:val="5000"/>
              </w14:schemeClr>
            </w14:solidFill>
          </w14:textFill>
        </w:rPr>
        <w:t>(6.</w:t>
      </w:r>
      <w:r>
        <w:rPr>
          <w:rFonts w:hint="eastAsia"/>
          <w:snapToGrid w:val="0"/>
          <w:color w:val="0D0D0D" w:themeColor="text1" w:themeTint="F2"/>
          <w:kern w:val="0"/>
          <w:szCs w:val="24"/>
          <w14:textFill>
            <w14:solidFill>
              <w14:schemeClr w14:val="tx1">
                <w14:lumMod w14:val="95000"/>
                <w14:lumOff w14:val="5000"/>
              </w14:schemeClr>
            </w14:solidFill>
          </w14:textFill>
        </w:rPr>
        <w:t>0.</w:t>
      </w:r>
      <w:r>
        <w:rPr>
          <w:snapToGrid w:val="0"/>
          <w:color w:val="0D0D0D" w:themeColor="text1" w:themeTint="F2"/>
          <w:kern w:val="0"/>
          <w:szCs w:val="24"/>
          <w14:textFill>
            <w14:solidFill>
              <w14:schemeClr w14:val="tx1">
                <w14:lumMod w14:val="95000"/>
                <w14:lumOff w14:val="5000"/>
              </w14:schemeClr>
            </w14:solidFill>
          </w14:textFill>
        </w:rPr>
        <w:t>2)计算胶结砂砾石配合比校正系数</w:t>
      </w:r>
      <w:r>
        <w:rPr>
          <w:i/>
          <w:snapToGrid w:val="0"/>
          <w:color w:val="0D0D0D" w:themeColor="text1" w:themeTint="F2"/>
          <w:kern w:val="0"/>
          <w:szCs w:val="24"/>
          <w14:textFill>
            <w14:solidFill>
              <w14:schemeClr w14:val="tx1">
                <w14:lumMod w14:val="95000"/>
                <w14:lumOff w14:val="5000"/>
              </w14:schemeClr>
            </w14:solidFill>
          </w14:textFill>
        </w:rPr>
        <w:t>δ</w:t>
      </w:r>
      <w:r>
        <w:rPr>
          <w:snapToGrid w:val="0"/>
          <w:color w:val="0D0D0D" w:themeColor="text1" w:themeTint="F2"/>
          <w:kern w:val="0"/>
          <w:szCs w:val="24"/>
          <w14:textFill>
            <w14:solidFill>
              <w14:schemeClr w14:val="tx1">
                <w14:lumMod w14:val="95000"/>
                <w14:lumOff w14:val="5000"/>
              </w14:schemeClr>
            </w14:solidFill>
          </w14:textFill>
        </w:rPr>
        <w:t>：</w:t>
      </w:r>
    </w:p>
    <w:p w14:paraId="012738E0">
      <w:pPr>
        <w:ind w:right="106" w:firstLine="420"/>
        <w:jc w:val="right"/>
        <w:rPr>
          <w:snapToGrid w:val="0"/>
          <w:color w:val="0D0D0D" w:themeColor="text1" w:themeTint="F2"/>
          <w:kern w:val="0"/>
          <w:szCs w:val="24"/>
          <w14:textFill>
            <w14:solidFill>
              <w14:schemeClr w14:val="tx1">
                <w14:lumMod w14:val="95000"/>
                <w14:lumOff w14:val="5000"/>
              </w14:schemeClr>
            </w14:solidFill>
          </w14:textFill>
        </w:rPr>
      </w:pPr>
      <m:oMath>
        <m:r>
          <m:rPr>
            <m:sty m:val="p"/>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δ=</m:t>
        </m:r>
        <m:f>
          <m:fPr>
            <m:ctrl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ctrlPr>
          </m:fPr>
          <m:num>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c,t</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t>
            </m:r>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V</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c,t</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ctrl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ctrlPr>
          </m:num>
          <m:den>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w</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t>
            </m:r>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c</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t>
            </m:r>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p</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t>
            </m:r>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s</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t>
            </m:r>
            <m:sSub>
              <m:sSubP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SubPr>
              <m:e>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m</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e>
              <m:sub>
                <m:r>
                  <m:r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t>g</m:t>
                </m:r>
                <m:ctrlPr>
                  <w:rPr>
                    <w:rFonts w:ascii="Cambria Math" w:hAnsi="Cambria Math"/>
                    <w:i/>
                    <w:snapToGrid w:val="0"/>
                    <w:color w:val="0D0D0D" w:themeColor="text1" w:themeTint="F2"/>
                    <w:kern w:val="0"/>
                    <w:szCs w:val="24"/>
                    <w14:textFill>
                      <w14:solidFill>
                        <w14:schemeClr w14:val="tx1">
                          <w14:lumMod w14:val="95000"/>
                          <w14:lumOff w14:val="5000"/>
                        </w14:schemeClr>
                      </w14:solidFill>
                    </w14:textFill>
                  </w:rPr>
                </m:ctrlPr>
              </m:sub>
            </m:sSub>
            <m:ctrlPr>
              <w:rPr>
                <w:rFonts w:ascii="Cambria Math" w:hAnsi="Cambria Math"/>
                <w:snapToGrid w:val="0"/>
                <w:color w:val="0D0D0D" w:themeColor="text1" w:themeTint="F2"/>
                <w:kern w:val="0"/>
                <w:szCs w:val="24"/>
                <w14:textFill>
                  <w14:solidFill>
                    <w14:schemeClr w14:val="tx1">
                      <w14:lumMod w14:val="95000"/>
                      <w14:lumOff w14:val="5000"/>
                    </w14:schemeClr>
                  </w14:solidFill>
                </w14:textFill>
              </w:rPr>
            </m:ctrlPr>
          </m:den>
        </m:f>
      </m:oMath>
      <w:r>
        <w:rPr>
          <w:snapToGrid w:val="0"/>
          <w:color w:val="0D0D0D" w:themeColor="text1" w:themeTint="F2"/>
          <w:kern w:val="0"/>
          <w:szCs w:val="24"/>
          <w14:textFill>
            <w14:solidFill>
              <w14:schemeClr w14:val="tx1">
                <w14:lumMod w14:val="95000"/>
                <w14:lumOff w14:val="5000"/>
              </w14:schemeClr>
            </w14:solidFill>
          </w14:textFill>
        </w:rPr>
        <w:t xml:space="preserve">                             (6.</w:t>
      </w:r>
      <w:r>
        <w:rPr>
          <w:rFonts w:hint="eastAsia"/>
          <w:snapToGrid w:val="0"/>
          <w:color w:val="0D0D0D" w:themeColor="text1" w:themeTint="F2"/>
          <w:kern w:val="0"/>
          <w:szCs w:val="24"/>
          <w14:textFill>
            <w14:solidFill>
              <w14:schemeClr w14:val="tx1">
                <w14:lumMod w14:val="95000"/>
                <w14:lumOff w14:val="5000"/>
              </w14:schemeClr>
            </w14:solidFill>
          </w14:textFill>
        </w:rPr>
        <w:t>0.</w:t>
      </w:r>
      <w:r>
        <w:rPr>
          <w:snapToGrid w:val="0"/>
          <w:color w:val="0D0D0D" w:themeColor="text1" w:themeTint="F2"/>
          <w:kern w:val="0"/>
          <w:szCs w:val="24"/>
          <w14:textFill>
            <w14:solidFill>
              <w14:schemeClr w14:val="tx1">
                <w14:lumMod w14:val="95000"/>
                <w14:lumOff w14:val="5000"/>
              </w14:schemeClr>
            </w14:solidFill>
          </w14:textFill>
        </w:rPr>
        <w:t>2)</w:t>
      </w:r>
    </w:p>
    <w:p w14:paraId="3D5E7994">
      <w:pPr>
        <w:spacing w:line="360" w:lineRule="auto"/>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 xml:space="preserve">c, t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实测</w:t>
      </w:r>
      <w:r>
        <w:rPr>
          <w:snapToGrid w:val="0"/>
          <w:color w:val="0D0D0D" w:themeColor="text1" w:themeTint="F2"/>
          <w:kern w:val="0"/>
          <w:szCs w:val="24"/>
          <w14:textFill>
            <w14:solidFill>
              <w14:schemeClr w14:val="tx1">
                <w14:lumMod w14:val="95000"/>
                <w14:lumOff w14:val="5000"/>
              </w14:schemeClr>
            </w14:solidFill>
          </w14:textFill>
        </w:rPr>
        <w:t>拌和物的质量，kg；</w:t>
      </w:r>
    </w:p>
    <w:p w14:paraId="6C6AFF3A">
      <w:pPr>
        <w:spacing w:line="360" w:lineRule="auto"/>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V</w:t>
      </w:r>
      <w:r>
        <w:rPr>
          <w:i/>
          <w:snapToGrid w:val="0"/>
          <w:color w:val="0D0D0D" w:themeColor="text1" w:themeTint="F2"/>
          <w:kern w:val="0"/>
          <w:szCs w:val="24"/>
          <w:vertAlign w:val="subscript"/>
          <w14:textFill>
            <w14:solidFill>
              <w14:schemeClr w14:val="tx1">
                <w14:lumMod w14:val="95000"/>
                <w14:lumOff w14:val="5000"/>
              </w14:schemeClr>
            </w14:solidFill>
          </w14:textFill>
        </w:rPr>
        <w:t xml:space="preserve">c, t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实测</w:t>
      </w:r>
      <w:r>
        <w:rPr>
          <w:snapToGrid w:val="0"/>
          <w:color w:val="0D0D0D" w:themeColor="text1" w:themeTint="F2"/>
          <w:kern w:val="0"/>
          <w:szCs w:val="24"/>
          <w14:textFill>
            <w14:solidFill>
              <w14:schemeClr w14:val="tx1">
                <w14:lumMod w14:val="95000"/>
                <w14:lumOff w14:val="5000"/>
              </w14:schemeClr>
            </w14:solidFill>
          </w14:textFill>
        </w:rPr>
        <w:t>拌和物的体积，m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5FCE3374">
      <w:pPr>
        <w:spacing w:line="360" w:lineRule="auto"/>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w</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用水量，kg/m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0498CBD3">
      <w:pPr>
        <w:spacing w:line="360" w:lineRule="auto"/>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c</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水泥用量，kg/m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74D01998">
      <w:pPr>
        <w:spacing w:line="360" w:lineRule="auto"/>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p</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掺合料用量，kg/m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6E72C20B">
      <w:pPr>
        <w:spacing w:line="360" w:lineRule="auto"/>
        <w:ind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s</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细骨料用量，kg/m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2691CED5">
      <w:pPr>
        <w:ind w:right="108" w:firstLine="630" w:firstLineChars="300"/>
        <w:rPr>
          <w:snapToGrid w:val="0"/>
          <w:color w:val="0D0D0D" w:themeColor="text1" w:themeTint="F2"/>
          <w:kern w:val="0"/>
          <w:szCs w:val="24"/>
          <w14:textFill>
            <w14:solidFill>
              <w14:schemeClr w14:val="tx1">
                <w14:lumMod w14:val="95000"/>
                <w14:lumOff w14:val="5000"/>
              </w14:schemeClr>
            </w14:solidFill>
          </w14:textFill>
        </w:rPr>
      </w:pPr>
      <w:r>
        <w:rPr>
          <w:i/>
          <w:snapToGrid w:val="0"/>
          <w:color w:val="0D0D0D" w:themeColor="text1" w:themeTint="F2"/>
          <w:kern w:val="0"/>
          <w:szCs w:val="24"/>
          <w14:textFill>
            <w14:solidFill>
              <w14:schemeClr w14:val="tx1">
                <w14:lumMod w14:val="95000"/>
                <w14:lumOff w14:val="5000"/>
              </w14:schemeClr>
            </w14:solidFill>
          </w14:textFill>
        </w:rPr>
        <w:t>m</w:t>
      </w:r>
      <w:r>
        <w:rPr>
          <w:i/>
          <w:snapToGrid w:val="0"/>
          <w:color w:val="0D0D0D" w:themeColor="text1" w:themeTint="F2"/>
          <w:kern w:val="0"/>
          <w:szCs w:val="24"/>
          <w:vertAlign w:val="subscript"/>
          <w14:textFill>
            <w14:solidFill>
              <w14:schemeClr w14:val="tx1">
                <w14:lumMod w14:val="95000"/>
                <w14:lumOff w14:val="5000"/>
              </w14:schemeClr>
            </w14:solidFill>
          </w14:textFill>
        </w:rPr>
        <w:t>g</w:t>
      </w:r>
      <w:r>
        <w:rPr>
          <w:snapToGrid w:val="0"/>
          <w:color w:val="0D0D0D" w:themeColor="text1" w:themeTint="F2"/>
          <w:kern w:val="0"/>
          <w:szCs w:val="24"/>
          <w:vertAlign w:val="subscript"/>
          <w14:textFill>
            <w14:solidFill>
              <w14:schemeClr w14:val="tx1">
                <w14:lumMod w14:val="95000"/>
                <w14:lumOff w14:val="5000"/>
              </w14:schemeClr>
            </w14:solidFill>
          </w14:textFill>
        </w:rPr>
        <w:t xml:space="preserve"> </w:t>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sym w:font="Symbol" w:char="F0BE"/>
      </w:r>
      <w:r>
        <w:rPr>
          <w:bCs/>
          <w:color w:val="0D0D0D" w:themeColor="text1" w:themeTint="F2"/>
          <w14:textFill>
            <w14:solidFill>
              <w14:schemeClr w14:val="tx1">
                <w14:lumMod w14:val="95000"/>
                <w14:lumOff w14:val="5000"/>
              </w14:schemeClr>
            </w14:solidFill>
          </w14:textFill>
        </w:rPr>
        <w:t xml:space="preserve"> 单位体积胶结砂砾石中</w:t>
      </w:r>
      <w:r>
        <w:rPr>
          <w:snapToGrid w:val="0"/>
          <w:color w:val="0D0D0D" w:themeColor="text1" w:themeTint="F2"/>
          <w:kern w:val="0"/>
          <w:szCs w:val="24"/>
          <w14:textFill>
            <w14:solidFill>
              <w14:schemeClr w14:val="tx1">
                <w14:lumMod w14:val="95000"/>
                <w14:lumOff w14:val="5000"/>
              </w14:schemeClr>
            </w14:solidFill>
          </w14:textFill>
        </w:rPr>
        <w:t>粗骨料用量，kg/m</w:t>
      </w:r>
      <w:r>
        <w:rPr>
          <w:snapToGrid w:val="0"/>
          <w:color w:val="0D0D0D" w:themeColor="text1" w:themeTint="F2"/>
          <w:kern w:val="0"/>
          <w:szCs w:val="24"/>
          <w:vertAlign w:val="superscript"/>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w:t>
      </w:r>
    </w:p>
    <w:p w14:paraId="7D456801">
      <w:pPr>
        <w:ind w:firstLine="422"/>
        <w:rPr>
          <w:snapToGrid w:val="0"/>
          <w:color w:val="0D0D0D" w:themeColor="text1" w:themeTint="F2"/>
          <w:kern w:val="0"/>
          <w:szCs w:val="24"/>
          <w14:textFill>
            <w14:solidFill>
              <w14:schemeClr w14:val="tx1">
                <w14:lumMod w14:val="95000"/>
                <w14:lumOff w14:val="5000"/>
              </w14:schemeClr>
            </w14:solidFill>
          </w14:textFill>
        </w:rPr>
      </w:pPr>
      <w:r>
        <w:rPr>
          <w:b/>
          <w:bCs/>
          <w:snapToGrid w:val="0"/>
          <w:color w:val="0D0D0D" w:themeColor="text1" w:themeTint="F2"/>
          <w:kern w:val="0"/>
          <w:szCs w:val="24"/>
          <w14:textFill>
            <w14:solidFill>
              <w14:schemeClr w14:val="tx1">
                <w14:lumMod w14:val="95000"/>
                <w14:lumOff w14:val="5000"/>
              </w14:schemeClr>
            </w14:solidFill>
          </w14:textFill>
        </w:rPr>
        <w:t>3</w:t>
      </w:r>
      <w:r>
        <w:rPr>
          <w:snapToGrid w:val="0"/>
          <w:color w:val="0D0D0D" w:themeColor="text1" w:themeTint="F2"/>
          <w:kern w:val="0"/>
          <w:szCs w:val="24"/>
          <w14:textFill>
            <w14:solidFill>
              <w14:schemeClr w14:val="tx1">
                <w14:lumMod w14:val="95000"/>
                <w14:lumOff w14:val="5000"/>
              </w14:schemeClr>
            </w14:solidFill>
          </w14:textFill>
        </w:rPr>
        <w:t xml:space="preserve">  按校正系数对配合比中每项材料用量进行调整，即为调整的设计配合比。</w:t>
      </w:r>
    </w:p>
    <w:p w14:paraId="6AB3E44C">
      <w:pPr>
        <w:ind w:firstLine="0" w:firstLineChars="0"/>
        <w:rPr>
          <w:snapToGrid w:val="0"/>
          <w:color w:val="0D0D0D" w:themeColor="text1" w:themeTint="F2"/>
          <w:kern w:val="0"/>
          <w:szCs w:val="24"/>
          <w14:textFill>
            <w14:solidFill>
              <w14:schemeClr w14:val="tx1">
                <w14:lumMod w14:val="95000"/>
                <w14:lumOff w14:val="5000"/>
              </w14:schemeClr>
            </w14:solidFill>
          </w14:textFill>
        </w:rPr>
      </w:pPr>
      <w:bookmarkStart w:id="33" w:name="_Toc101627524"/>
      <w:bookmarkStart w:id="34" w:name="_Toc101670050"/>
      <w:r>
        <w:rPr>
          <w:rFonts w:eastAsia="黑体"/>
          <w:b/>
          <w:bCs/>
          <w:snapToGrid w:val="0"/>
          <w:color w:val="0D0D0D" w:themeColor="text1" w:themeTint="F2"/>
          <w:kern w:val="0"/>
          <w:szCs w:val="24"/>
          <w14:textFill>
            <w14:solidFill>
              <w14:schemeClr w14:val="tx1">
                <w14:lumMod w14:val="95000"/>
                <w14:lumOff w14:val="5000"/>
              </w14:schemeClr>
            </w14:solidFill>
          </w14:textFill>
        </w:rPr>
        <w:t>6.</w:t>
      </w:r>
      <w:r>
        <w:rPr>
          <w:rFonts w:hint="eastAsia" w:eastAsia="黑体"/>
          <w:b/>
          <w:bCs/>
          <w:snapToGrid w:val="0"/>
          <w:color w:val="0D0D0D" w:themeColor="text1" w:themeTint="F2"/>
          <w:kern w:val="0"/>
          <w:szCs w:val="24"/>
          <w14:textFill>
            <w14:solidFill>
              <w14:schemeClr w14:val="tx1">
                <w14:lumMod w14:val="95000"/>
                <w14:lumOff w14:val="5000"/>
              </w14:schemeClr>
            </w14:solidFill>
          </w14:textFill>
        </w:rPr>
        <w:t>0.</w:t>
      </w:r>
      <w:r>
        <w:rPr>
          <w:rFonts w:eastAsia="黑体"/>
          <w:b/>
          <w:bCs/>
          <w:snapToGrid w:val="0"/>
          <w:color w:val="0D0D0D" w:themeColor="text1" w:themeTint="F2"/>
          <w:kern w:val="0"/>
          <w:szCs w:val="24"/>
          <w14:textFill>
            <w14:solidFill>
              <w14:schemeClr w14:val="tx1">
                <w14:lumMod w14:val="95000"/>
                <w14:lumOff w14:val="5000"/>
              </w14:schemeClr>
            </w14:solidFill>
          </w14:textFill>
        </w:rPr>
        <w:t>3</w:t>
      </w:r>
      <w:r>
        <w:rPr>
          <w:rFonts w:eastAsia="黑体"/>
          <w:snapToGrid w:val="0"/>
          <w:color w:val="0D0D0D" w:themeColor="text1" w:themeTint="F2"/>
          <w:kern w:val="0"/>
          <w:szCs w:val="24"/>
          <w14:textFill>
            <w14:solidFill>
              <w14:schemeClr w14:val="tx1">
                <w14:lumMod w14:val="95000"/>
                <w14:lumOff w14:val="5000"/>
              </w14:schemeClr>
            </w14:solidFill>
          </w14:textFill>
        </w:rPr>
        <w:t xml:space="preserve"> </w:t>
      </w:r>
      <w:r>
        <w:rPr>
          <w:snapToGrid w:val="0"/>
          <w:color w:val="0D0D0D" w:themeColor="text1" w:themeTint="F2"/>
          <w:kern w:val="0"/>
          <w:szCs w:val="24"/>
          <w14:textFill>
            <w14:solidFill>
              <w14:schemeClr w14:val="tx1">
                <w14:lumMod w14:val="95000"/>
                <w14:lumOff w14:val="5000"/>
              </w14:schemeClr>
            </w14:solidFill>
          </w14:textFill>
        </w:rPr>
        <w:t>确定</w:t>
      </w:r>
      <w:bookmarkEnd w:id="33"/>
      <w:bookmarkEnd w:id="34"/>
      <w:r>
        <w:rPr>
          <w:snapToGrid w:val="0"/>
          <w:color w:val="0D0D0D" w:themeColor="text1" w:themeTint="F2"/>
          <w:kern w:val="0"/>
          <w:szCs w:val="24"/>
          <w14:textFill>
            <w14:solidFill>
              <w14:schemeClr w14:val="tx1">
                <w14:lumMod w14:val="95000"/>
                <w14:lumOff w14:val="5000"/>
              </w14:schemeClr>
            </w14:solidFill>
          </w14:textFill>
        </w:rPr>
        <w:t>配合比应按</w:t>
      </w:r>
      <w:r>
        <w:rPr>
          <w:rFonts w:hint="eastAsia"/>
          <w:snapToGrid w:val="0"/>
          <w:color w:val="0D0D0D" w:themeColor="text1" w:themeTint="F2"/>
          <w:kern w:val="0"/>
          <w:szCs w:val="24"/>
          <w14:textFill>
            <w14:solidFill>
              <w14:schemeClr w14:val="tx1">
                <w14:lumMod w14:val="95000"/>
                <w14:lumOff w14:val="5000"/>
              </w14:schemeClr>
            </w14:solidFill>
          </w14:textFill>
        </w:rPr>
        <w:t>下列</w:t>
      </w:r>
      <w:r>
        <w:rPr>
          <w:snapToGrid w:val="0"/>
          <w:color w:val="0D0D0D" w:themeColor="text1" w:themeTint="F2"/>
          <w:kern w:val="0"/>
          <w:szCs w:val="24"/>
          <w14:textFill>
            <w14:solidFill>
              <w14:schemeClr w14:val="tx1">
                <w14:lumMod w14:val="95000"/>
                <w14:lumOff w14:val="5000"/>
              </w14:schemeClr>
            </w14:solidFill>
          </w14:textFill>
        </w:rPr>
        <w:t>规定执行：</w:t>
      </w:r>
    </w:p>
    <w:p w14:paraId="124A3438">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1</w:t>
      </w:r>
      <w:r>
        <w:rPr>
          <w:snapToGrid w:val="0"/>
          <w:color w:val="0D0D0D" w:themeColor="text1" w:themeTint="F2"/>
          <w:kern w:val="0"/>
          <w:szCs w:val="24"/>
          <w14:textFill>
            <w14:solidFill>
              <w14:schemeClr w14:val="tx1">
                <w14:lumMod w14:val="95000"/>
                <w14:lumOff w14:val="5000"/>
              </w14:schemeClr>
            </w14:solidFill>
          </w14:textFill>
        </w:rPr>
        <w:t xml:space="preserve">  当胶结砂砾石有抗渗、抗冻和其他技术指标要求时，应用满足抗压强度要求的设计配合比，进行相关性能试验。如不满足要求，应对配合比进行适当调整，直到满足设计要求。</w:t>
      </w:r>
    </w:p>
    <w:p w14:paraId="43C1FE71">
      <w:pPr>
        <w:ind w:firstLine="422"/>
        <w:rPr>
          <w:snapToGrid w:val="0"/>
          <w:color w:val="0D0D0D" w:themeColor="text1" w:themeTint="F2"/>
          <w:kern w:val="0"/>
          <w:szCs w:val="24"/>
          <w14:textFill>
            <w14:solidFill>
              <w14:schemeClr w14:val="tx1">
                <w14:lumMod w14:val="95000"/>
                <w14:lumOff w14:val="5000"/>
              </w14:schemeClr>
            </w14:solidFill>
          </w14:textFill>
        </w:rPr>
      </w:pPr>
      <w:r>
        <w:rPr>
          <w:rFonts w:eastAsia="黑体"/>
          <w:b/>
          <w:bCs/>
          <w:snapToGrid w:val="0"/>
          <w:color w:val="0D0D0D" w:themeColor="text1" w:themeTint="F2"/>
          <w:kern w:val="0"/>
          <w:szCs w:val="24"/>
          <w14:textFill>
            <w14:solidFill>
              <w14:schemeClr w14:val="tx1">
                <w14:lumMod w14:val="95000"/>
                <w14:lumOff w14:val="5000"/>
              </w14:schemeClr>
            </w14:solidFill>
          </w14:textFill>
        </w:rPr>
        <w:t>2</w:t>
      </w:r>
      <w:r>
        <w:rPr>
          <w:snapToGrid w:val="0"/>
          <w:color w:val="0D0D0D" w:themeColor="text1" w:themeTint="F2"/>
          <w:kern w:val="0"/>
          <w:szCs w:val="24"/>
          <w14:textFill>
            <w14:solidFill>
              <w14:schemeClr w14:val="tx1">
                <w14:lumMod w14:val="95000"/>
                <w14:lumOff w14:val="5000"/>
              </w14:schemeClr>
            </w14:solidFill>
          </w14:textFill>
        </w:rPr>
        <w:t xml:space="preserve">  </w:t>
      </w:r>
      <w:r>
        <w:rPr>
          <w:rFonts w:hint="eastAsia"/>
          <w:snapToGrid w:val="0"/>
          <w:color w:val="0D0D0D" w:themeColor="text1" w:themeTint="F2"/>
          <w:kern w:val="0"/>
          <w:szCs w:val="24"/>
          <w14:textFill>
            <w14:solidFill>
              <w14:schemeClr w14:val="tx1">
                <w14:lumMod w14:val="95000"/>
                <w14:lumOff w14:val="5000"/>
              </w14:schemeClr>
            </w14:solidFill>
          </w14:textFill>
        </w:rPr>
        <w:t>有条件时，宜进行450mm立方体试件胶结砂砾石抗压强度试验，得出不同龄期的450mm立方体与150mm立方体抗压强度的比尺效应系数及强度增长率。大试件设计龄期抗压强度低于标准立方体试件的50%时，设计抗压强度标准值应做进一步论证。</w:t>
      </w:r>
    </w:p>
    <w:p w14:paraId="2C26E2F1">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37D4FB2A">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p>
    <w:p w14:paraId="1FF449C2">
      <w:pPr>
        <w:keepNext/>
        <w:keepLines/>
        <w:spacing w:before="156" w:beforeLines="50" w:after="156" w:afterLines="50" w:line="336" w:lineRule="auto"/>
        <w:ind w:firstLine="138" w:firstLineChars="49"/>
        <w:jc w:val="center"/>
        <w:outlineLvl w:val="0"/>
        <w:rPr>
          <w:b/>
          <w:bCs/>
          <w:color w:val="0D0D0D" w:themeColor="text1" w:themeTint="F2"/>
          <w:kern w:val="44"/>
          <w:sz w:val="28"/>
          <w:szCs w:val="28"/>
          <w14:textFill>
            <w14:solidFill>
              <w14:schemeClr w14:val="tx1">
                <w14:lumMod w14:val="95000"/>
                <w14:lumOff w14:val="5000"/>
              </w14:schemeClr>
            </w14:solidFill>
          </w14:textFill>
        </w:rPr>
      </w:pPr>
      <w:bookmarkStart w:id="35" w:name="_Toc62293652"/>
      <w:bookmarkStart w:id="36" w:name="_Toc63605896"/>
      <w:bookmarkStart w:id="37" w:name="_Toc199246895"/>
      <w:bookmarkStart w:id="38" w:name="_Toc58444720"/>
      <w:bookmarkStart w:id="39" w:name="_Toc199247352"/>
      <w:bookmarkStart w:id="40" w:name="_Toc58444922"/>
      <w:r>
        <w:rPr>
          <w:b/>
          <w:bCs/>
          <w:color w:val="0D0D0D" w:themeColor="text1" w:themeTint="F2"/>
          <w:kern w:val="44"/>
          <w:sz w:val="28"/>
          <w:szCs w:val="28"/>
          <w14:textFill>
            <w14:solidFill>
              <w14:schemeClr w14:val="tx1">
                <w14:lumMod w14:val="95000"/>
                <w14:lumOff w14:val="5000"/>
              </w14:schemeClr>
            </w14:solidFill>
          </w14:textFill>
        </w:rPr>
        <w:t>标</w:t>
      </w:r>
      <w:r>
        <w:rPr>
          <w:rFonts w:hint="eastAsia"/>
          <w:b/>
          <w:bCs/>
          <w:color w:val="0D0D0D" w:themeColor="text1" w:themeTint="F2"/>
          <w:kern w:val="44"/>
          <w:sz w:val="28"/>
          <w:szCs w:val="28"/>
          <w14:textFill>
            <w14:solidFill>
              <w14:schemeClr w14:val="tx1">
                <w14:lumMod w14:val="95000"/>
                <w14:lumOff w14:val="5000"/>
              </w14:schemeClr>
            </w14:solidFill>
          </w14:textFill>
        </w:rPr>
        <w:t xml:space="preserve"> </w:t>
      </w:r>
      <w:r>
        <w:rPr>
          <w:b/>
          <w:bCs/>
          <w:color w:val="0D0D0D" w:themeColor="text1" w:themeTint="F2"/>
          <w:kern w:val="44"/>
          <w:sz w:val="28"/>
          <w:szCs w:val="28"/>
          <w14:textFill>
            <w14:solidFill>
              <w14:schemeClr w14:val="tx1">
                <w14:lumMod w14:val="95000"/>
                <w14:lumOff w14:val="5000"/>
              </w14:schemeClr>
            </w14:solidFill>
          </w14:textFill>
        </w:rPr>
        <w:t>准</w:t>
      </w:r>
      <w:r>
        <w:rPr>
          <w:rFonts w:hint="eastAsia"/>
          <w:b/>
          <w:bCs/>
          <w:color w:val="0D0D0D" w:themeColor="text1" w:themeTint="F2"/>
          <w:kern w:val="44"/>
          <w:sz w:val="28"/>
          <w:szCs w:val="28"/>
          <w14:textFill>
            <w14:solidFill>
              <w14:schemeClr w14:val="tx1">
                <w14:lumMod w14:val="95000"/>
                <w14:lumOff w14:val="5000"/>
              </w14:schemeClr>
            </w14:solidFill>
          </w14:textFill>
        </w:rPr>
        <w:t xml:space="preserve"> </w:t>
      </w:r>
      <w:r>
        <w:rPr>
          <w:b/>
          <w:bCs/>
          <w:color w:val="0D0D0D" w:themeColor="text1" w:themeTint="F2"/>
          <w:kern w:val="44"/>
          <w:sz w:val="28"/>
          <w:szCs w:val="28"/>
          <w14:textFill>
            <w14:solidFill>
              <w14:schemeClr w14:val="tx1">
                <w14:lumMod w14:val="95000"/>
                <w14:lumOff w14:val="5000"/>
              </w14:schemeClr>
            </w14:solidFill>
          </w14:textFill>
        </w:rPr>
        <w:t>用</w:t>
      </w:r>
      <w:r>
        <w:rPr>
          <w:rFonts w:hint="eastAsia"/>
          <w:b/>
          <w:bCs/>
          <w:color w:val="0D0D0D" w:themeColor="text1" w:themeTint="F2"/>
          <w:kern w:val="44"/>
          <w:sz w:val="28"/>
          <w:szCs w:val="28"/>
          <w14:textFill>
            <w14:solidFill>
              <w14:schemeClr w14:val="tx1">
                <w14:lumMod w14:val="95000"/>
                <w14:lumOff w14:val="5000"/>
              </w14:schemeClr>
            </w14:solidFill>
          </w14:textFill>
        </w:rPr>
        <w:t xml:space="preserve"> </w:t>
      </w:r>
      <w:r>
        <w:rPr>
          <w:b/>
          <w:bCs/>
          <w:color w:val="0D0D0D" w:themeColor="text1" w:themeTint="F2"/>
          <w:kern w:val="44"/>
          <w:sz w:val="28"/>
          <w:szCs w:val="28"/>
          <w14:textFill>
            <w14:solidFill>
              <w14:schemeClr w14:val="tx1">
                <w14:lumMod w14:val="95000"/>
                <w14:lumOff w14:val="5000"/>
              </w14:schemeClr>
            </w14:solidFill>
          </w14:textFill>
        </w:rPr>
        <w:t>词</w:t>
      </w:r>
      <w:r>
        <w:rPr>
          <w:rFonts w:hint="eastAsia"/>
          <w:b/>
          <w:bCs/>
          <w:color w:val="0D0D0D" w:themeColor="text1" w:themeTint="F2"/>
          <w:kern w:val="44"/>
          <w:sz w:val="28"/>
          <w:szCs w:val="28"/>
          <w14:textFill>
            <w14:solidFill>
              <w14:schemeClr w14:val="tx1">
                <w14:lumMod w14:val="95000"/>
                <w14:lumOff w14:val="5000"/>
              </w14:schemeClr>
            </w14:solidFill>
          </w14:textFill>
        </w:rPr>
        <w:t xml:space="preserve"> </w:t>
      </w:r>
      <w:r>
        <w:rPr>
          <w:b/>
          <w:bCs/>
          <w:color w:val="0D0D0D" w:themeColor="text1" w:themeTint="F2"/>
          <w:kern w:val="44"/>
          <w:sz w:val="28"/>
          <w:szCs w:val="28"/>
          <w14:textFill>
            <w14:solidFill>
              <w14:schemeClr w14:val="tx1">
                <w14:lumMod w14:val="95000"/>
                <w14:lumOff w14:val="5000"/>
              </w14:schemeClr>
            </w14:solidFill>
          </w14:textFill>
        </w:rPr>
        <w:t>说</w:t>
      </w:r>
      <w:r>
        <w:rPr>
          <w:rFonts w:hint="eastAsia"/>
          <w:b/>
          <w:bCs/>
          <w:color w:val="0D0D0D" w:themeColor="text1" w:themeTint="F2"/>
          <w:kern w:val="44"/>
          <w:sz w:val="28"/>
          <w:szCs w:val="28"/>
          <w14:textFill>
            <w14:solidFill>
              <w14:schemeClr w14:val="tx1">
                <w14:lumMod w14:val="95000"/>
                <w14:lumOff w14:val="5000"/>
              </w14:schemeClr>
            </w14:solidFill>
          </w14:textFill>
        </w:rPr>
        <w:t xml:space="preserve"> </w:t>
      </w:r>
      <w:r>
        <w:rPr>
          <w:b/>
          <w:bCs/>
          <w:color w:val="0D0D0D" w:themeColor="text1" w:themeTint="F2"/>
          <w:kern w:val="44"/>
          <w:sz w:val="28"/>
          <w:szCs w:val="28"/>
          <w14:textFill>
            <w14:solidFill>
              <w14:schemeClr w14:val="tx1">
                <w14:lumMod w14:val="95000"/>
                <w14:lumOff w14:val="5000"/>
              </w14:schemeClr>
            </w14:solidFill>
          </w14:textFill>
        </w:rPr>
        <w:t>明</w:t>
      </w:r>
      <w:bookmarkEnd w:id="35"/>
      <w:bookmarkEnd w:id="36"/>
      <w:bookmarkEnd w:id="37"/>
      <w:bookmarkEnd w:id="38"/>
      <w:bookmarkEnd w:id="39"/>
      <w:bookmarkEnd w:id="40"/>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0"/>
        <w:gridCol w:w="5436"/>
      </w:tblGrid>
      <w:tr w14:paraId="16FD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79BE6579">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标准用词</w:t>
            </w:r>
          </w:p>
        </w:tc>
        <w:tc>
          <w:tcPr>
            <w:tcW w:w="5436" w:type="dxa"/>
            <w:vAlign w:val="center"/>
          </w:tcPr>
          <w:p w14:paraId="1847D689">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严</w:t>
            </w:r>
            <w:r>
              <w:rPr>
                <w:rFonts w:hint="eastAsia"/>
                <w:color w:val="0D0D0D" w:themeColor="text1" w:themeTint="F2"/>
                <w14:textFill>
                  <w14:solidFill>
                    <w14:schemeClr w14:val="tx1">
                      <w14:lumMod w14:val="95000"/>
                      <w14:lumOff w14:val="5000"/>
                    </w14:schemeClr>
                  </w14:solidFill>
                </w14:textFill>
              </w:rPr>
              <w:t xml:space="preserve"> </w:t>
            </w:r>
            <w:r>
              <w:rPr>
                <w:color w:val="0D0D0D" w:themeColor="text1" w:themeTint="F2"/>
                <w14:textFill>
                  <w14:solidFill>
                    <w14:schemeClr w14:val="tx1">
                      <w14:lumMod w14:val="95000"/>
                      <w14:lumOff w14:val="5000"/>
                    </w14:schemeClr>
                  </w14:solidFill>
                </w14:textFill>
              </w:rPr>
              <w:t>格</w:t>
            </w:r>
            <w:r>
              <w:rPr>
                <w:rFonts w:hint="eastAsia"/>
                <w:color w:val="0D0D0D" w:themeColor="text1" w:themeTint="F2"/>
                <w14:textFill>
                  <w14:solidFill>
                    <w14:schemeClr w14:val="tx1">
                      <w14:lumMod w14:val="95000"/>
                      <w14:lumOff w14:val="5000"/>
                    </w14:schemeClr>
                  </w14:solidFill>
                </w14:textFill>
              </w:rPr>
              <w:t xml:space="preserve"> </w:t>
            </w:r>
            <w:r>
              <w:rPr>
                <w:color w:val="0D0D0D" w:themeColor="text1" w:themeTint="F2"/>
                <w14:textFill>
                  <w14:solidFill>
                    <w14:schemeClr w14:val="tx1">
                      <w14:lumMod w14:val="95000"/>
                      <w14:lumOff w14:val="5000"/>
                    </w14:schemeClr>
                  </w14:solidFill>
                </w14:textFill>
              </w:rPr>
              <w:t>程</w:t>
            </w:r>
            <w:r>
              <w:rPr>
                <w:rFonts w:hint="eastAsia"/>
                <w:color w:val="0D0D0D" w:themeColor="text1" w:themeTint="F2"/>
                <w14:textFill>
                  <w14:solidFill>
                    <w14:schemeClr w14:val="tx1">
                      <w14:lumMod w14:val="95000"/>
                      <w14:lumOff w14:val="5000"/>
                    </w14:schemeClr>
                  </w14:solidFill>
                </w14:textFill>
              </w:rPr>
              <w:t xml:space="preserve"> </w:t>
            </w:r>
            <w:r>
              <w:rPr>
                <w:color w:val="0D0D0D" w:themeColor="text1" w:themeTint="F2"/>
                <w14:textFill>
                  <w14:solidFill>
                    <w14:schemeClr w14:val="tx1">
                      <w14:lumMod w14:val="95000"/>
                      <w14:lumOff w14:val="5000"/>
                    </w14:schemeClr>
                  </w14:solidFill>
                </w14:textFill>
              </w:rPr>
              <w:t>度</w:t>
            </w:r>
          </w:p>
        </w:tc>
      </w:tr>
      <w:tr w14:paraId="54D3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28163A26">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必须</w:t>
            </w:r>
          </w:p>
        </w:tc>
        <w:tc>
          <w:tcPr>
            <w:tcW w:w="5436" w:type="dxa"/>
            <w:vMerge w:val="restart"/>
            <w:vAlign w:val="center"/>
          </w:tcPr>
          <w:p w14:paraId="77C17C86">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很严格，非这样做不可</w:t>
            </w:r>
          </w:p>
        </w:tc>
      </w:tr>
      <w:tr w14:paraId="593F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3FC450C0">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严禁</w:t>
            </w:r>
          </w:p>
        </w:tc>
        <w:tc>
          <w:tcPr>
            <w:tcW w:w="5436" w:type="dxa"/>
            <w:vMerge w:val="continue"/>
            <w:vAlign w:val="center"/>
          </w:tcPr>
          <w:p w14:paraId="695ABE33">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p>
        </w:tc>
      </w:tr>
      <w:tr w14:paraId="12E7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75F68E1C">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应</w:t>
            </w:r>
          </w:p>
        </w:tc>
        <w:tc>
          <w:tcPr>
            <w:tcW w:w="5436" w:type="dxa"/>
            <w:vMerge w:val="restart"/>
            <w:vAlign w:val="center"/>
          </w:tcPr>
          <w:p w14:paraId="0EB6B918">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严格，在正常情况下均应这样做</w:t>
            </w:r>
          </w:p>
        </w:tc>
      </w:tr>
      <w:tr w14:paraId="254D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54CD3E6C">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不应、不得</w:t>
            </w:r>
          </w:p>
        </w:tc>
        <w:tc>
          <w:tcPr>
            <w:tcW w:w="5436" w:type="dxa"/>
            <w:vMerge w:val="continue"/>
            <w:vAlign w:val="center"/>
          </w:tcPr>
          <w:p w14:paraId="60E0A600">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p>
        </w:tc>
      </w:tr>
      <w:tr w14:paraId="315B3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1E1D7C56">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宜</w:t>
            </w:r>
          </w:p>
        </w:tc>
        <w:tc>
          <w:tcPr>
            <w:tcW w:w="5436" w:type="dxa"/>
            <w:vMerge w:val="restart"/>
            <w:vAlign w:val="center"/>
          </w:tcPr>
          <w:p w14:paraId="6C37BD04">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允许稍有选择，在条件许可时首先应这样做</w:t>
            </w:r>
          </w:p>
        </w:tc>
      </w:tr>
      <w:tr w14:paraId="5405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1278570B">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不宜</w:t>
            </w:r>
          </w:p>
        </w:tc>
        <w:tc>
          <w:tcPr>
            <w:tcW w:w="5436" w:type="dxa"/>
            <w:vMerge w:val="continue"/>
            <w:vAlign w:val="center"/>
          </w:tcPr>
          <w:p w14:paraId="2DB0003D">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p>
        </w:tc>
      </w:tr>
      <w:tr w14:paraId="6C9B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0" w:type="dxa"/>
            <w:vAlign w:val="center"/>
          </w:tcPr>
          <w:p w14:paraId="00EEC5B7">
            <w:pPr>
              <w:tabs>
                <w:tab w:val="left" w:pos="780"/>
              </w:tabs>
              <w:spacing w:before="156" w:beforeLines="50" w:after="156" w:afterLines="50" w:line="360" w:lineRule="auto"/>
              <w:ind w:firstLine="0" w:firstLineChars="0"/>
              <w:jc w:val="center"/>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可</w:t>
            </w:r>
          </w:p>
        </w:tc>
        <w:tc>
          <w:tcPr>
            <w:tcW w:w="5436" w:type="dxa"/>
            <w:vAlign w:val="center"/>
          </w:tcPr>
          <w:p w14:paraId="6323B9CC">
            <w:pPr>
              <w:tabs>
                <w:tab w:val="left" w:pos="780"/>
              </w:tabs>
              <w:spacing w:before="156" w:beforeLines="50" w:after="156" w:afterLines="50" w:line="360" w:lineRule="auto"/>
              <w:ind w:firstLine="0" w:firstLineChars="0"/>
              <w:rPr>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有选择，在一定条件下可以这样做</w:t>
            </w:r>
          </w:p>
        </w:tc>
      </w:tr>
    </w:tbl>
    <w:p w14:paraId="2ABF38CD">
      <w:pPr>
        <w:spacing w:before="156" w:beforeLines="50" w:after="156" w:afterLines="50" w:line="240" w:lineRule="auto"/>
        <w:ind w:firstLine="0" w:firstLineChars="0"/>
        <w:rPr>
          <w:rFonts w:eastAsia="黑体"/>
          <w:bCs/>
          <w:color w:val="0D0D0D" w:themeColor="text1" w:themeTint="F2"/>
          <w:sz w:val="18"/>
          <w14:textFill>
            <w14:solidFill>
              <w14:schemeClr w14:val="tx1">
                <w14:lumMod w14:val="95000"/>
                <w14:lumOff w14:val="5000"/>
              </w14:schemeClr>
            </w14:solidFill>
          </w14:textFill>
        </w:rPr>
      </w:pPr>
    </w:p>
    <w:p w14:paraId="04F2DC87">
      <w:pPr>
        <w:ind w:firstLine="420"/>
        <w:rPr>
          <w:color w:val="0D0D0D" w:themeColor="text1" w:themeTint="F2"/>
          <w14:textFill>
            <w14:solidFill>
              <w14:schemeClr w14:val="tx1">
                <w14:lumMod w14:val="95000"/>
                <w14:lumOff w14:val="5000"/>
              </w14:schemeClr>
            </w14:solidFill>
          </w14:textFill>
        </w:rPr>
      </w:pPr>
    </w:p>
    <w:p w14:paraId="7402E887">
      <w:pPr>
        <w:ind w:firstLine="420"/>
        <w:rPr>
          <w:color w:val="0D0D0D" w:themeColor="text1" w:themeTint="F2"/>
          <w14:textFill>
            <w14:solidFill>
              <w14:schemeClr w14:val="tx1">
                <w14:lumMod w14:val="95000"/>
                <w14:lumOff w14:val="5000"/>
              </w14:schemeClr>
            </w14:solidFill>
          </w14:textFill>
        </w:rPr>
      </w:pPr>
    </w:p>
    <w:p w14:paraId="2E9F79CE">
      <w:pPr>
        <w:ind w:firstLine="420"/>
        <w:rPr>
          <w:color w:val="0D0D0D" w:themeColor="text1" w:themeTint="F2"/>
          <w14:textFill>
            <w14:solidFill>
              <w14:schemeClr w14:val="tx1">
                <w14:lumMod w14:val="95000"/>
                <w14:lumOff w14:val="5000"/>
              </w14:schemeClr>
            </w14:solidFill>
          </w14:textFill>
        </w:rPr>
      </w:pPr>
    </w:p>
    <w:p w14:paraId="3710A9EE">
      <w:pPr>
        <w:ind w:firstLine="420"/>
        <w:rPr>
          <w:color w:val="0D0D0D" w:themeColor="text1" w:themeTint="F2"/>
          <w14:textFill>
            <w14:solidFill>
              <w14:schemeClr w14:val="tx1">
                <w14:lumMod w14:val="95000"/>
                <w14:lumOff w14:val="5000"/>
              </w14:schemeClr>
            </w14:solidFill>
          </w14:textFill>
        </w:rPr>
      </w:pPr>
    </w:p>
    <w:p w14:paraId="509FDD29">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p>
    <w:p w14:paraId="02CCF9A7">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0C923C42">
      <w:pPr>
        <w:pStyle w:val="13"/>
        <w:adjustRightInd w:val="0"/>
        <w:snapToGrid w:val="0"/>
        <w:spacing w:line="700" w:lineRule="exact"/>
        <w:ind w:firstLine="0" w:firstLineChars="0"/>
        <w:jc w:val="center"/>
        <w:rPr>
          <w:rFonts w:ascii="Times New Roman" w:hAnsi="Times New Roman" w:eastAsia="黑体" w:cs="Times New Roman"/>
          <w:bCs/>
          <w:color w:val="0D0D0D" w:themeColor="text1" w:themeTint="F2"/>
          <w:sz w:val="72"/>
          <w:szCs w:val="72"/>
          <w14:textFill>
            <w14:solidFill>
              <w14:schemeClr w14:val="tx1">
                <w14:lumMod w14:val="95000"/>
                <w14:lumOff w14:val="5000"/>
              </w14:schemeClr>
            </w14:solidFill>
          </w14:textFill>
        </w:rPr>
      </w:pPr>
      <w:r>
        <w:rPr>
          <w:rFonts w:ascii="Times New Roman" w:hAnsi="Times New Roman" w:eastAsia="黑体" w:cs="Times New Roman"/>
          <w:bCs/>
          <w:color w:val="0D0D0D" w:themeColor="text1" w:themeTint="F2"/>
          <w:sz w:val="72"/>
          <w:szCs w:val="72"/>
          <w14:textFill>
            <w14:solidFill>
              <w14:schemeClr w14:val="tx1">
                <w14:lumMod w14:val="95000"/>
                <w14:lumOff w14:val="5000"/>
              </w14:schemeClr>
            </w14:solidFill>
          </w14:textFill>
        </w:rPr>
        <w:t>团体标准</w:t>
      </w:r>
    </w:p>
    <w:p w14:paraId="611E797B">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69275BC8">
      <w:pPr>
        <w:spacing w:before="156" w:beforeLines="50" w:after="156" w:afterLines="50" w:line="240" w:lineRule="auto"/>
        <w:ind w:firstLine="0" w:firstLineChars="0"/>
        <w:jc w:val="center"/>
        <w:rPr>
          <w:color w:val="0D0D0D" w:themeColor="text1" w:themeTint="F2"/>
          <w14:textFill>
            <w14:solidFill>
              <w14:schemeClr w14:val="tx1">
                <w14:lumMod w14:val="95000"/>
                <w14:lumOff w14:val="5000"/>
              </w14:schemeClr>
            </w14:solidFill>
          </w14:textFill>
        </w:rPr>
      </w:pPr>
      <w:r>
        <w:rPr>
          <w:rFonts w:eastAsia="黑体"/>
          <w:color w:val="0D0D0D" w:themeColor="text1" w:themeTint="F2"/>
          <w:sz w:val="52"/>
          <w:szCs w:val="52"/>
          <w14:textFill>
            <w14:solidFill>
              <w14:schemeClr w14:val="tx1">
                <w14:lumMod w14:val="95000"/>
                <w14:lumOff w14:val="5000"/>
              </w14:schemeClr>
            </w14:solidFill>
          </w14:textFill>
        </w:rPr>
        <w:t>胶结砂砾石配合比设计规程</w:t>
      </w:r>
    </w:p>
    <w:p w14:paraId="25F8FF18">
      <w:pPr>
        <w:spacing w:before="156" w:beforeLines="50" w:after="156" w:afterLines="50" w:line="240" w:lineRule="auto"/>
        <w:ind w:firstLine="0" w:firstLineChars="0"/>
        <w:jc w:val="center"/>
        <w:rPr>
          <w:color w:val="0D0D0D" w:themeColor="text1" w:themeTint="F2"/>
          <w14:textFill>
            <w14:solidFill>
              <w14:schemeClr w14:val="tx1">
                <w14:lumMod w14:val="95000"/>
                <w14:lumOff w14:val="5000"/>
              </w14:schemeClr>
            </w14:solidFill>
          </w14:textFill>
        </w:rPr>
      </w:pPr>
      <w:r>
        <w:rPr>
          <w:b/>
          <w:color w:val="0D0D0D" w:themeColor="text1" w:themeTint="F2"/>
          <w:sz w:val="24"/>
          <w:szCs w:val="18"/>
          <w14:textFill>
            <w14:solidFill>
              <w14:schemeClr w14:val="tx1">
                <w14:lumMod w14:val="95000"/>
                <w14:lumOff w14:val="5000"/>
              </w14:schemeClr>
            </w14:solidFill>
          </w14:textFill>
        </w:rPr>
        <w:t>T/CHINCOLD XXXX-202</w:t>
      </w:r>
      <w:r>
        <w:rPr>
          <w:rFonts w:hint="eastAsia"/>
          <w:b/>
          <w:color w:val="0D0D0D" w:themeColor="text1" w:themeTint="F2"/>
          <w:sz w:val="24"/>
          <w:szCs w:val="18"/>
          <w14:textFill>
            <w14:solidFill>
              <w14:schemeClr w14:val="tx1">
                <w14:lumMod w14:val="95000"/>
                <w14:lumOff w14:val="5000"/>
              </w14:schemeClr>
            </w14:solidFill>
          </w14:textFill>
        </w:rPr>
        <w:t>5</w:t>
      </w:r>
    </w:p>
    <w:p w14:paraId="5C5F03B9">
      <w:pPr>
        <w:spacing w:before="156" w:beforeLines="50" w:after="156" w:afterLines="50"/>
        <w:ind w:firstLine="0" w:firstLineChars="0"/>
        <w:jc w:val="center"/>
        <w:outlineLvl w:val="0"/>
        <w:rPr>
          <w:rFonts w:eastAsia="黑体"/>
          <w:b/>
          <w:bCs/>
          <w:color w:val="0D0D0D" w:themeColor="text1" w:themeTint="F2"/>
          <w:kern w:val="44"/>
          <w:sz w:val="28"/>
          <w:szCs w:val="44"/>
          <w14:textFill>
            <w14:solidFill>
              <w14:schemeClr w14:val="tx1">
                <w14:lumMod w14:val="95000"/>
                <w14:lumOff w14:val="5000"/>
              </w14:schemeClr>
            </w14:solidFill>
          </w14:textFill>
        </w:rPr>
      </w:pPr>
      <w:bookmarkStart w:id="41" w:name="_Toc61017990"/>
      <w:bookmarkStart w:id="42" w:name="_Toc199246896"/>
      <w:bookmarkStart w:id="43" w:name="_Toc199247353"/>
      <w:bookmarkStart w:id="44" w:name="_Toc61016902"/>
      <w:bookmarkStart w:id="45" w:name="_Toc62140215"/>
      <w:r>
        <w:rPr>
          <w:rFonts w:eastAsia="黑体"/>
          <w:b/>
          <w:bCs/>
          <w:color w:val="0D0D0D" w:themeColor="text1" w:themeTint="F2"/>
          <w:kern w:val="44"/>
          <w:sz w:val="28"/>
          <w:szCs w:val="44"/>
          <w14:textFill>
            <w14:solidFill>
              <w14:schemeClr w14:val="tx1">
                <w14:lumMod w14:val="95000"/>
                <w14:lumOff w14:val="5000"/>
              </w14:schemeClr>
            </w14:solidFill>
          </w14:textFill>
        </w:rPr>
        <w:t>条 文 说 明</w:t>
      </w:r>
      <w:bookmarkEnd w:id="41"/>
      <w:bookmarkEnd w:id="42"/>
      <w:bookmarkEnd w:id="43"/>
      <w:bookmarkEnd w:id="44"/>
      <w:bookmarkEnd w:id="45"/>
    </w:p>
    <w:p w14:paraId="441EBF67">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6AA19B2C">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54CACF22">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037937A1">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5C57BAA8">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p>
    <w:p w14:paraId="3377EF05">
      <w:pPr>
        <w:tabs>
          <w:tab w:val="right" w:leader="dot" w:pos="8303"/>
        </w:tabs>
        <w:spacing w:before="156" w:beforeLines="50" w:after="156" w:afterLines="50" w:line="240" w:lineRule="auto"/>
        <w:ind w:firstLine="0" w:firstLineChars="0"/>
        <w:jc w:val="center"/>
        <w:rPr>
          <w:b/>
          <w:bCs/>
        </w:rPr>
      </w:pPr>
      <w:r>
        <w:rPr>
          <w:b/>
          <w:bCs/>
          <w:color w:val="0D0D0D" w:themeColor="text1" w:themeTint="F2"/>
          <w:sz w:val="28"/>
          <w:szCs w:val="36"/>
          <w14:textFill>
            <w14:solidFill>
              <w14:schemeClr w14:val="tx1">
                <w14:lumMod w14:val="95000"/>
                <w14:lumOff w14:val="5000"/>
              </w14:schemeClr>
            </w14:solidFill>
          </w14:textFill>
        </w:rPr>
        <w:t xml:space="preserve">目    </w:t>
      </w:r>
      <w:r>
        <w:rPr>
          <w:rFonts w:hint="eastAsia"/>
          <w:b/>
          <w:bCs/>
          <w:color w:val="0D0D0D" w:themeColor="text1" w:themeTint="F2"/>
          <w:sz w:val="28"/>
          <w:szCs w:val="36"/>
          <w14:textFill>
            <w14:solidFill>
              <w14:schemeClr w14:val="tx1">
                <w14:lumMod w14:val="95000"/>
                <w14:lumOff w14:val="5000"/>
              </w14:schemeClr>
            </w14:solidFill>
          </w14:textFill>
        </w:rPr>
        <w:t>次</w:t>
      </w:r>
      <w:r>
        <w:rPr>
          <w:b/>
          <w:bCs/>
          <w:color w:val="0D0D0D" w:themeColor="text1" w:themeTint="F2"/>
          <w:sz w:val="24"/>
          <w:szCs w:val="24"/>
          <w14:textFill>
            <w14:solidFill>
              <w14:schemeClr w14:val="tx1">
                <w14:lumMod w14:val="95000"/>
                <w14:lumOff w14:val="5000"/>
              </w14:schemeClr>
            </w14:solidFill>
          </w14:textFill>
        </w:rPr>
        <w:fldChar w:fldCharType="begin"/>
      </w:r>
      <w:r>
        <w:rPr>
          <w:b/>
          <w:bCs/>
          <w:color w:val="0D0D0D" w:themeColor="text1" w:themeTint="F2"/>
          <w:sz w:val="24"/>
          <w:szCs w:val="24"/>
          <w14:textFill>
            <w14:solidFill>
              <w14:schemeClr w14:val="tx1">
                <w14:lumMod w14:val="95000"/>
                <w14:lumOff w14:val="5000"/>
              </w14:schemeClr>
            </w14:solidFill>
          </w14:textFill>
        </w:rPr>
        <w:instrText xml:space="preserve"> TOC \o "1-3" \h \z \u </w:instrText>
      </w:r>
      <w:r>
        <w:rPr>
          <w:b/>
          <w:bCs/>
          <w:color w:val="0D0D0D" w:themeColor="text1" w:themeTint="F2"/>
          <w:sz w:val="24"/>
          <w:szCs w:val="24"/>
          <w14:textFill>
            <w14:solidFill>
              <w14:schemeClr w14:val="tx1">
                <w14:lumMod w14:val="95000"/>
                <w14:lumOff w14:val="5000"/>
              </w14:schemeClr>
            </w14:solidFill>
          </w14:textFill>
        </w:rPr>
        <w:fldChar w:fldCharType="separate"/>
      </w:r>
    </w:p>
    <w:p w14:paraId="7761CD36">
      <w:pPr>
        <w:pStyle w:val="19"/>
        <w:tabs>
          <w:tab w:val="right" w:leader="dot" w:pos="8303"/>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"_Toc199247354" </w:instrText>
      </w:r>
      <w:r>
        <w:fldChar w:fldCharType="separate"/>
      </w:r>
      <w:r>
        <w:rPr>
          <w:rStyle w:val="28"/>
          <w:rFonts w:ascii="Times New Roman" w:hAnsi="Times New Roman" w:cs="Times New Roman"/>
        </w:rPr>
        <w:t>1 总则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_Toc199247354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14:paraId="7E0A7F95">
      <w:pPr>
        <w:pStyle w:val="19"/>
        <w:tabs>
          <w:tab w:val="right" w:leader="dot" w:pos="8303"/>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"_Toc199247355" </w:instrText>
      </w:r>
      <w:r>
        <w:fldChar w:fldCharType="separate"/>
      </w:r>
      <w:r>
        <w:rPr>
          <w:rStyle w:val="28"/>
          <w:rFonts w:ascii="Times New Roman" w:hAnsi="Times New Roman" w:cs="Times New Roman"/>
        </w:rPr>
        <w:t>3 基本规定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_Toc199247355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14:paraId="73CD77C7">
      <w:pPr>
        <w:pStyle w:val="19"/>
        <w:tabs>
          <w:tab w:val="right" w:leader="dot" w:pos="8303"/>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"_Toc199247356" </w:instrText>
      </w:r>
      <w:r>
        <w:fldChar w:fldCharType="separate"/>
      </w:r>
      <w:r>
        <w:rPr>
          <w:rStyle w:val="28"/>
          <w:rFonts w:ascii="Times New Roman" w:hAnsi="Times New Roman" w:cs="Times New Roman"/>
        </w:rPr>
        <w:t>4 配制强度的确定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_Toc199247356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14:paraId="2C7908DA">
      <w:pPr>
        <w:pStyle w:val="19"/>
        <w:tabs>
          <w:tab w:val="right" w:leader="dot" w:pos="8303"/>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"_Toc199247357" </w:instrText>
      </w:r>
      <w:r>
        <w:fldChar w:fldCharType="separate"/>
      </w:r>
      <w:r>
        <w:rPr>
          <w:rStyle w:val="28"/>
          <w:rFonts w:ascii="Times New Roman" w:hAnsi="Times New Roman" w:cs="Times New Roman"/>
        </w:rPr>
        <w:t>5 配合比的计算</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_Toc199247357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14:paraId="3A555AE7">
      <w:pPr>
        <w:pStyle w:val="19"/>
        <w:tabs>
          <w:tab w:val="right" w:leader="dot" w:pos="8303"/>
        </w:tabs>
        <w:ind w:firstLine="0" w:firstLineChars="0"/>
        <w:rPr>
          <w:rFonts w:ascii="Times New Roman" w:hAnsi="Times New Roman" w:cs="Times New Roman"/>
          <w:caps w:val="0"/>
          <w:sz w:val="22"/>
          <w:szCs w:val="24"/>
          <w14:ligatures w14:val="standardContextual"/>
        </w:rPr>
      </w:pPr>
      <w:r>
        <w:fldChar w:fldCharType="begin"/>
      </w:r>
      <w:r>
        <w:instrText xml:space="preserve"> HYPERLINK \l "_Toc199247358" </w:instrText>
      </w:r>
      <w:r>
        <w:fldChar w:fldCharType="separate"/>
      </w:r>
      <w:r>
        <w:rPr>
          <w:rStyle w:val="28"/>
          <w:rFonts w:ascii="Times New Roman" w:hAnsi="Times New Roman" w:cs="Times New Roman"/>
        </w:rPr>
        <w:t>6 配合比的试配、调整和确定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_Toc199247358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0EEB8731">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r>
        <w:rPr>
          <w:b/>
          <w:bCs/>
          <w:color w:val="0D0D0D" w:themeColor="text1" w:themeTint="F2"/>
          <w:sz w:val="24"/>
          <w:szCs w:val="24"/>
          <w14:textFill>
            <w14:solidFill>
              <w14:schemeClr w14:val="tx1">
                <w14:lumMod w14:val="95000"/>
                <w14:lumOff w14:val="5000"/>
              </w14:schemeClr>
            </w14:solidFill>
          </w14:textFill>
        </w:rPr>
        <w:fldChar w:fldCharType="end"/>
      </w:r>
    </w:p>
    <w:p w14:paraId="7CAE0A82">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pPr>
    </w:p>
    <w:p w14:paraId="3BD627C5">
      <w:pPr>
        <w:spacing w:before="156" w:beforeLines="50" w:after="156" w:afterLines="50" w:line="240" w:lineRule="auto"/>
        <w:ind w:firstLine="0" w:firstLineChars="0"/>
        <w:rPr>
          <w:color w:val="0D0D0D" w:themeColor="text1" w:themeTint="F2"/>
          <w14:textFill>
            <w14:solidFill>
              <w14:schemeClr w14:val="tx1">
                <w14:lumMod w14:val="95000"/>
                <w14:lumOff w14:val="5000"/>
              </w14:schemeClr>
            </w14:solidFill>
          </w14:textFill>
        </w:rPr>
        <w:sectPr>
          <w:pgSz w:w="11907" w:h="16840"/>
          <w:pgMar w:top="1440" w:right="1797" w:bottom="1440" w:left="1797" w:header="851" w:footer="992" w:gutter="0"/>
          <w:cols w:space="720" w:num="1"/>
          <w:docGrid w:type="lines" w:linePitch="312" w:charSpace="0"/>
        </w:sectPr>
      </w:pPr>
    </w:p>
    <w:p w14:paraId="16AB9A4C">
      <w:pPr>
        <w:pStyle w:val="2"/>
        <w:spacing w:before="156" w:after="156"/>
        <w:ind w:firstLine="0" w:firstLineChars="0"/>
        <w:rPr>
          <w:color w:val="0D0D0D" w:themeColor="text1" w:themeTint="F2"/>
          <w14:textFill>
            <w14:solidFill>
              <w14:schemeClr w14:val="tx1">
                <w14:lumMod w14:val="95000"/>
                <w14:lumOff w14:val="5000"/>
              </w14:schemeClr>
            </w14:solidFill>
          </w14:textFill>
        </w:rPr>
      </w:pPr>
      <w:bookmarkStart w:id="46" w:name="_Toc199246897"/>
      <w:bookmarkStart w:id="47" w:name="_Toc199247354"/>
      <w:bookmarkStart w:id="48" w:name="_Toc62293782"/>
      <w:bookmarkStart w:id="49" w:name="_Toc64725202"/>
      <w:bookmarkStart w:id="50" w:name="_Toc63605886"/>
      <w:bookmarkStart w:id="51" w:name="_Toc63606218"/>
      <w:bookmarkStart w:id="52" w:name="_Toc61016904"/>
      <w:r>
        <w:rPr>
          <w:color w:val="0D0D0D" w:themeColor="text1" w:themeTint="F2"/>
          <w14:textFill>
            <w14:solidFill>
              <w14:schemeClr w14:val="tx1">
                <w14:lumMod w14:val="95000"/>
                <w14:lumOff w14:val="5000"/>
              </w14:schemeClr>
            </w14:solidFill>
          </w14:textFill>
        </w:rPr>
        <w:t>1 总则</w:t>
      </w:r>
      <w:bookmarkEnd w:id="46"/>
      <w:bookmarkEnd w:id="47"/>
    </w:p>
    <w:p w14:paraId="19C4317F">
      <w:pPr>
        <w:spacing w:line="360" w:lineRule="auto"/>
        <w:ind w:firstLine="420"/>
        <w:rPr>
          <w:bCs/>
          <w:color w:val="0D0D0D" w:themeColor="text1" w:themeTint="F2"/>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胶结砂砾石配合比设计规程主要是根据《水工混凝土试验规程》SL352，《水工碾压混凝土试验规程》</w:t>
      </w:r>
      <w:r>
        <w:rPr>
          <w:bCs/>
          <w:color w:val="0D0D0D" w:themeColor="text1" w:themeTint="F2"/>
          <w14:textFill>
            <w14:solidFill>
              <w14:schemeClr w14:val="tx1">
                <w14:lumMod w14:val="95000"/>
                <w14:lumOff w14:val="5000"/>
              </w14:schemeClr>
            </w14:solidFill>
          </w14:textFill>
        </w:rPr>
        <w:t>DLT 5433，</w:t>
      </w:r>
      <w:r>
        <w:rPr>
          <w:color w:val="0D0D0D" w:themeColor="text1" w:themeTint="F2"/>
          <w:szCs w:val="24"/>
          <w14:textFill>
            <w14:solidFill>
              <w14:schemeClr w14:val="tx1">
                <w14:lumMod w14:val="95000"/>
                <w14:lumOff w14:val="5000"/>
              </w14:schemeClr>
            </w14:solidFill>
          </w14:textFill>
        </w:rPr>
        <w:t>《</w:t>
      </w:r>
      <w:r>
        <w:rPr>
          <w:color w:val="0D0D0D" w:themeColor="text1" w:themeTint="F2"/>
          <w:szCs w:val="21"/>
          <w14:textFill>
            <w14:solidFill>
              <w14:schemeClr w14:val="tx1">
                <w14:lumMod w14:val="95000"/>
                <w14:lumOff w14:val="5000"/>
              </w14:schemeClr>
            </w14:solidFill>
          </w14:textFill>
        </w:rPr>
        <w:t>胶结颗粒料筑坝技术导则</w:t>
      </w:r>
      <w:r>
        <w:rPr>
          <w:color w:val="0D0D0D" w:themeColor="text1" w:themeTint="F2"/>
          <w:szCs w:val="24"/>
          <w14:textFill>
            <w14:solidFill>
              <w14:schemeClr w14:val="tx1">
                <w14:lumMod w14:val="95000"/>
                <w14:lumOff w14:val="5000"/>
              </w14:schemeClr>
            </w14:solidFill>
          </w14:textFill>
        </w:rPr>
        <w:t>》</w:t>
      </w:r>
      <w:r>
        <w:rPr>
          <w:color w:val="0D0D0D" w:themeColor="text1" w:themeTint="F2"/>
          <w:szCs w:val="21"/>
          <w14:textFill>
            <w14:solidFill>
              <w14:schemeClr w14:val="tx1">
                <w14:lumMod w14:val="95000"/>
                <w14:lumOff w14:val="5000"/>
              </w14:schemeClr>
            </w14:solidFill>
          </w14:textFill>
        </w:rPr>
        <w:t>SL</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678和</w:t>
      </w:r>
      <w:r>
        <w:rPr>
          <w:color w:val="0D0D0D" w:themeColor="text1" w:themeTint="F2"/>
          <w:szCs w:val="24"/>
          <w14:textFill>
            <w14:solidFill>
              <w14:schemeClr w14:val="tx1">
                <w14:lumMod w14:val="95000"/>
                <w14:lumOff w14:val="5000"/>
              </w14:schemeClr>
            </w14:solidFill>
          </w14:textFill>
        </w:rPr>
        <w:t>《水工混凝土配合比设计规程》</w:t>
      </w:r>
      <w:r>
        <w:rPr>
          <w:bCs/>
          <w:color w:val="0D0D0D" w:themeColor="text1" w:themeTint="F2"/>
          <w14:textFill>
            <w14:solidFill>
              <w14:schemeClr w14:val="tx1">
                <w14:lumMod w14:val="95000"/>
                <w14:lumOff w14:val="5000"/>
              </w14:schemeClr>
            </w14:solidFill>
          </w14:textFill>
        </w:rPr>
        <w:t>DLT 5330</w:t>
      </w:r>
      <w:r>
        <w:rPr>
          <w:color w:val="0D0D0D" w:themeColor="text1" w:themeTint="F2"/>
          <w:szCs w:val="24"/>
          <w14:textFill>
            <w14:solidFill>
              <w14:schemeClr w14:val="tx1">
                <w14:lumMod w14:val="95000"/>
                <w14:lumOff w14:val="5000"/>
              </w14:schemeClr>
            </w14:solidFill>
          </w14:textFill>
        </w:rPr>
        <w:t>编写的。胶结砂砾石分为普通胶结砂砾石、富浆胶结砂砾石和加浆振捣胶结砂砾石，普通和富浆胶结砂砾石配合比设计方法相同，加浆振捣胶结砂砾石的配合比设计和配制方法参考《水工碾压混凝土试验规程》</w:t>
      </w:r>
      <w:r>
        <w:rPr>
          <w:bCs/>
          <w:color w:val="0D0D0D" w:themeColor="text1" w:themeTint="F2"/>
          <w14:textFill>
            <w14:solidFill>
              <w14:schemeClr w14:val="tx1">
                <w14:lumMod w14:val="95000"/>
                <w14:lumOff w14:val="5000"/>
              </w14:schemeClr>
            </w14:solidFill>
          </w14:textFill>
        </w:rPr>
        <w:t>DLT 5433和中国水利水电科学研究院发明专利</w:t>
      </w:r>
      <w:r>
        <w:rPr>
          <w:color w:val="0D0D0D" w:themeColor="text1" w:themeTint="F2"/>
          <w:szCs w:val="24"/>
          <w14:textFill>
            <w14:solidFill>
              <w14:schemeClr w14:val="tx1">
                <w14:lumMod w14:val="95000"/>
                <w14:lumOff w14:val="5000"/>
              </w14:schemeClr>
            </w14:solidFill>
          </w14:textFill>
        </w:rPr>
        <w:t>《加浆振捣胶凝砂砾石的制备方法及其产品》</w:t>
      </w:r>
      <w:r>
        <w:rPr>
          <w:bCs/>
          <w:color w:val="0D0D0D" w:themeColor="text1" w:themeTint="F2"/>
          <w14:textFill>
            <w14:solidFill>
              <w14:schemeClr w14:val="tx1">
                <w14:lumMod w14:val="95000"/>
                <w14:lumOff w14:val="5000"/>
              </w14:schemeClr>
            </w14:solidFill>
          </w14:textFill>
        </w:rPr>
        <w:t>ZL 2014 1 0184217.2。</w:t>
      </w:r>
    </w:p>
    <w:p w14:paraId="186E507B">
      <w:pPr>
        <w:spacing w:line="360" w:lineRule="auto"/>
        <w:ind w:firstLine="420"/>
        <w:rPr>
          <w:color w:val="0D0D0D" w:themeColor="text1" w:themeTint="F2"/>
          <w:szCs w:val="24"/>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胶结砂砾石配合比选择应以技术指标、工作性和经济性等进行综合比较选择。胶结砂砾石配合比应通过试验选择，通过审查确定。配合比选择主要包括：胶结砂砾石应有一定级配，施工过程中粗骨料不发生严重分离；工作度适中，拌和物较易碾压密实，表观密度较大；胶结砂砾石的抗压、抗拉强度等性能满足设计要求。通过现场试验验证胶结砂砾石配合比的合理性。</w:t>
      </w:r>
    </w:p>
    <w:p w14:paraId="48F20C5A">
      <w:pPr>
        <w:spacing w:line="360" w:lineRule="auto"/>
        <w:ind w:firstLine="420"/>
        <w:rPr>
          <w:color w:val="0D0D0D" w:themeColor="text1" w:themeTint="F2"/>
          <w:szCs w:val="24"/>
          <w14:textFill>
            <w14:solidFill>
              <w14:schemeClr w14:val="tx1">
                <w14:lumMod w14:val="95000"/>
                <w14:lumOff w14:val="5000"/>
              </w14:schemeClr>
            </w14:solidFill>
          </w14:textFill>
        </w:rPr>
      </w:pPr>
    </w:p>
    <w:p w14:paraId="4985E9F8">
      <w:pPr>
        <w:pStyle w:val="2"/>
        <w:spacing w:before="156" w:after="156"/>
        <w:ind w:firstLine="0" w:firstLineChars="0"/>
        <w:rPr>
          <w:color w:val="0D0D0D" w:themeColor="text1" w:themeTint="F2"/>
          <w14:textFill>
            <w14:solidFill>
              <w14:schemeClr w14:val="tx1">
                <w14:lumMod w14:val="95000"/>
                <w14:lumOff w14:val="5000"/>
              </w14:schemeClr>
            </w14:solidFill>
          </w14:textFill>
        </w:rPr>
      </w:pPr>
      <w:bookmarkStart w:id="53" w:name="_Toc199246898"/>
      <w:bookmarkStart w:id="54" w:name="_Toc199247355"/>
      <w:r>
        <w:rPr>
          <w:color w:val="0D0D0D" w:themeColor="text1" w:themeTint="F2"/>
          <w14:textFill>
            <w14:solidFill>
              <w14:schemeClr w14:val="tx1">
                <w14:lumMod w14:val="95000"/>
                <w14:lumOff w14:val="5000"/>
              </w14:schemeClr>
            </w14:solidFill>
          </w14:textFill>
        </w:rPr>
        <w:t xml:space="preserve">3 </w:t>
      </w:r>
      <w:r>
        <w:rPr>
          <w:rFonts w:hint="eastAsia"/>
          <w:color w:val="0D0D0D" w:themeColor="text1" w:themeTint="F2"/>
          <w14:textFill>
            <w14:solidFill>
              <w14:schemeClr w14:val="tx1">
                <w14:lumMod w14:val="95000"/>
                <w14:lumOff w14:val="5000"/>
              </w14:schemeClr>
            </w14:solidFill>
          </w14:textFill>
        </w:rPr>
        <w:t>基本规定</w:t>
      </w:r>
      <w:bookmarkEnd w:id="53"/>
      <w:bookmarkEnd w:id="54"/>
    </w:p>
    <w:p w14:paraId="4EAC475A">
      <w:pPr>
        <w:spacing w:line="360" w:lineRule="auto"/>
        <w:ind w:firstLine="422"/>
        <w:rPr>
          <w:b/>
          <w:bCs/>
          <w:color w:val="0D0D0D" w:themeColor="text1" w:themeTint="F2"/>
          <w:szCs w:val="24"/>
          <w14:textFill>
            <w14:solidFill>
              <w14:schemeClr w14:val="tx1">
                <w14:lumMod w14:val="95000"/>
                <w14:lumOff w14:val="5000"/>
              </w14:schemeClr>
            </w14:solidFill>
          </w14:textFill>
        </w:rPr>
      </w:pPr>
      <w:r>
        <w:rPr>
          <w:rFonts w:hint="eastAsia"/>
          <w:b/>
          <w:bCs/>
          <w:color w:val="0D0D0D" w:themeColor="text1" w:themeTint="F2"/>
          <w:szCs w:val="24"/>
          <w14:textFill>
            <w14:solidFill>
              <w14:schemeClr w14:val="tx1">
                <w14:lumMod w14:val="95000"/>
                <w14:lumOff w14:val="5000"/>
              </w14:schemeClr>
            </w14:solidFill>
          </w14:textFill>
        </w:rPr>
        <w:t>3</w:t>
      </w:r>
      <w:r>
        <w:rPr>
          <w:b/>
          <w:bCs/>
          <w:color w:val="0D0D0D" w:themeColor="text1" w:themeTint="F2"/>
          <w:szCs w:val="24"/>
          <w14:textFill>
            <w14:solidFill>
              <w14:schemeClr w14:val="tx1">
                <w14:lumMod w14:val="95000"/>
                <w14:lumOff w14:val="5000"/>
              </w14:schemeClr>
            </w14:solidFill>
          </w14:textFill>
        </w:rPr>
        <w:t>.0.2</w:t>
      </w:r>
    </w:p>
    <w:p w14:paraId="5438A90F">
      <w:pPr>
        <w:spacing w:line="360" w:lineRule="auto"/>
        <w:ind w:firstLine="420"/>
        <w:rPr>
          <w:color w:val="0D0D0D" w:themeColor="text1" w:themeTint="F2"/>
          <w:szCs w:val="24"/>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为充分利用胶结砂砾石后期强度，尤其是参加掺合料的胶结砂砾石，设计龄期推荐采用180天龄期。</w:t>
      </w:r>
    </w:p>
    <w:p w14:paraId="304F85BE">
      <w:pPr>
        <w:spacing w:line="360" w:lineRule="auto"/>
        <w:ind w:firstLine="420"/>
        <w:rPr>
          <w:szCs w:val="20"/>
        </w:rPr>
      </w:pPr>
      <w:r>
        <w:rPr>
          <w:szCs w:val="20"/>
        </w:rPr>
        <w:t>胶结砂砾石抗压强度设计龄期取的是180d，实际试验过程中得到的最多的是28d龄期数据，同样以28d龄期强度为计算基数，最短龄期为7d，即目标公式应适用于预测胶结砂砾石7~180d强度。</w:t>
      </w:r>
      <w:r>
        <w:rPr>
          <w:rFonts w:hint="eastAsia"/>
          <w:szCs w:val="20"/>
        </w:rPr>
        <w:t>如公式（1）所示</w:t>
      </w:r>
      <w:r>
        <w:rPr>
          <w:szCs w:val="20"/>
        </w:rPr>
        <w:t>。</w:t>
      </w:r>
    </w:p>
    <w:p w14:paraId="75CA9433">
      <w:pPr>
        <w:pStyle w:val="8"/>
        <w:spacing w:line="360" w:lineRule="auto"/>
        <w:ind w:firstLine="480"/>
        <w:jc w:val="right"/>
        <w:rPr>
          <w:rFonts w:ascii="Times New Roman" w:hAnsi="Times New Roman" w:eastAsia="宋体" w:cs="Times New Roman"/>
          <w:sz w:val="21"/>
          <w:szCs w:val="21"/>
        </w:rPr>
      </w:pPr>
      <w:r>
        <w:rPr>
          <w:rFonts w:ascii="Times New Roman" w:hAnsi="Times New Roman" w:eastAsia="宋体" w:cs="Times New Roman"/>
          <w:i/>
          <w:sz w:val="21"/>
          <w:szCs w:val="21"/>
        </w:rPr>
        <w:t>C</w:t>
      </w:r>
      <w:r>
        <w:rPr>
          <w:rFonts w:ascii="Times New Roman" w:hAnsi="Times New Roman" w:eastAsia="宋体" w:cs="Times New Roman"/>
          <w:sz w:val="21"/>
          <w:szCs w:val="21"/>
        </w:rPr>
        <w:t>(n)=a*</w:t>
      </w:r>
      <w:r>
        <w:rPr>
          <w:rFonts w:ascii="Times New Roman" w:hAnsi="Times New Roman" w:eastAsia="宋体" w:cs="Times New Roman"/>
          <w:i/>
          <w:sz w:val="21"/>
          <w:szCs w:val="21"/>
        </w:rPr>
        <w:t>C</w:t>
      </w:r>
      <w:r>
        <w:rPr>
          <w:rFonts w:ascii="Times New Roman" w:hAnsi="Times New Roman" w:eastAsia="宋体" w:cs="Times New Roman"/>
          <w:sz w:val="21"/>
          <w:szCs w:val="21"/>
        </w:rPr>
        <w:t>(28)*ln(n)                     （</w:t>
      </w:r>
      <w:r>
        <w:rPr>
          <w:rFonts w:hint="eastAsia" w:ascii="Times New Roman" w:hAnsi="Times New Roman" w:cs="Times New Roman"/>
          <w:sz w:val="21"/>
          <w:szCs w:val="21"/>
        </w:rPr>
        <w:t>1</w:t>
      </w:r>
      <w:r>
        <w:rPr>
          <w:rFonts w:ascii="Times New Roman" w:hAnsi="Times New Roman" w:eastAsia="宋体" w:cs="Times New Roman"/>
          <w:sz w:val="21"/>
          <w:szCs w:val="21"/>
        </w:rPr>
        <w:t>）</w:t>
      </w:r>
    </w:p>
    <w:p w14:paraId="77A461FC">
      <w:pPr>
        <w:spacing w:line="360" w:lineRule="auto"/>
        <w:ind w:firstLine="420"/>
        <w:rPr>
          <w:szCs w:val="20"/>
        </w:rPr>
      </w:pPr>
      <w:r>
        <w:rPr>
          <w:szCs w:val="20"/>
        </w:rPr>
        <w:t>式中n为胶结砂砾石试件龄期，</w:t>
      </w:r>
      <w:r>
        <w:rPr>
          <w:i/>
          <w:szCs w:val="20"/>
        </w:rPr>
        <w:t>C</w:t>
      </w:r>
      <w:r>
        <w:rPr>
          <w:szCs w:val="20"/>
        </w:rPr>
        <w:t>(n)为龄期n d时胶结砂砾石抗压强度；</w:t>
      </w:r>
      <w:r>
        <w:rPr>
          <w:i/>
          <w:szCs w:val="20"/>
        </w:rPr>
        <w:t>C</w:t>
      </w:r>
      <w:r>
        <w:rPr>
          <w:szCs w:val="20"/>
        </w:rPr>
        <w:t>(28)为28d龄期胶结砂砾石抗压强度；a为经验系数，根据现有试验数据分析结果确定。</w:t>
      </w:r>
    </w:p>
    <w:p w14:paraId="784FEB51">
      <w:pPr>
        <w:spacing w:line="360" w:lineRule="auto"/>
        <w:ind w:firstLine="420"/>
        <w:rPr>
          <w:szCs w:val="20"/>
        </w:rPr>
      </w:pPr>
      <w:r>
        <w:rPr>
          <w:rFonts w:hint="eastAsia"/>
          <w:szCs w:val="20"/>
        </w:rPr>
        <w:t>由公</w:t>
      </w:r>
      <w:r>
        <w:rPr>
          <w:szCs w:val="20"/>
        </w:rPr>
        <w:t>式（</w:t>
      </w:r>
      <w:r>
        <w:rPr>
          <w:rFonts w:hint="eastAsia"/>
          <w:szCs w:val="20"/>
        </w:rPr>
        <w:t>1</w:t>
      </w:r>
      <w:r>
        <w:rPr>
          <w:szCs w:val="20"/>
        </w:rPr>
        <w:t>）可知，只要给出a的取值和胶结砂砾石抗压强度（</w:t>
      </w:r>
      <w:r>
        <w:rPr>
          <w:rFonts w:hint="eastAsia"/>
          <w:szCs w:val="20"/>
        </w:rPr>
        <w:t>28</w:t>
      </w:r>
      <w:r>
        <w:rPr>
          <w:szCs w:val="20"/>
        </w:rPr>
        <w:t>d），就可以预测胶结砂砾石长龄期抗压强度。考虑胶结砂砾石材料本身的离散性，a为一个取值范围，不是固定值，同时为了保证预测范围的可用性，该范围应尽量小。</w:t>
      </w:r>
    </w:p>
    <w:p w14:paraId="79CB76D6">
      <w:pPr>
        <w:spacing w:line="360" w:lineRule="auto"/>
        <w:ind w:firstLine="420"/>
        <w:rPr>
          <w:szCs w:val="20"/>
        </w:rPr>
      </w:pPr>
      <w:r>
        <w:rPr>
          <w:szCs w:val="20"/>
        </w:rPr>
        <w:t>采用公式（</w:t>
      </w:r>
      <w:r>
        <w:rPr>
          <w:rFonts w:hint="eastAsia"/>
          <w:szCs w:val="20"/>
        </w:rPr>
        <w:t>1</w:t>
      </w:r>
      <w:r>
        <w:rPr>
          <w:szCs w:val="20"/>
        </w:rPr>
        <w:t>）对49组试验数据分别拟合分析，分析结果如</w:t>
      </w:r>
      <w:r>
        <w:rPr>
          <w:rFonts w:hint="eastAsia"/>
          <w:szCs w:val="20"/>
        </w:rPr>
        <w:t>表1所示。</w:t>
      </w:r>
    </w:p>
    <w:p w14:paraId="58FCC9BB">
      <w:pPr>
        <w:pStyle w:val="8"/>
        <w:spacing w:line="360" w:lineRule="auto"/>
        <w:ind w:firstLine="420"/>
        <w:jc w:val="center"/>
        <w:rPr>
          <w:rFonts w:ascii="Times New Roman" w:hAnsi="Times New Roman" w:eastAsia="宋体" w:cs="Times New Roman"/>
          <w:sz w:val="21"/>
          <w:szCs w:val="21"/>
        </w:rPr>
      </w:pPr>
      <w:bookmarkStart w:id="55" w:name="_Ref525563493"/>
      <w:bookmarkStart w:id="56" w:name="_Ref525563489"/>
    </w:p>
    <w:p w14:paraId="0D9AEF20">
      <w:pPr>
        <w:pStyle w:val="8"/>
        <w:spacing w:line="360" w:lineRule="auto"/>
        <w:ind w:firstLine="420"/>
        <w:jc w:val="center"/>
        <w:rPr>
          <w:rFonts w:ascii="Times New Roman" w:hAnsi="Times New Roman" w:eastAsia="宋体" w:cs="Times New Roman"/>
          <w:sz w:val="21"/>
          <w:szCs w:val="21"/>
        </w:rPr>
      </w:pPr>
      <w:r>
        <w:rPr>
          <w:rFonts w:ascii="Times New Roman" w:hAnsi="Times New Roman" w:eastAsia="宋体" w:cs="Times New Roman"/>
          <w:sz w:val="21"/>
          <w:szCs w:val="21"/>
        </w:rPr>
        <w:t>表</w:t>
      </w:r>
      <w:bookmarkEnd w:id="55"/>
      <w:r>
        <w:rPr>
          <w:rFonts w:hint="eastAsia" w:ascii="Times New Roman" w:hAnsi="Times New Roman" w:eastAsia="宋体" w:cs="Times New Roman"/>
          <w:sz w:val="21"/>
          <w:szCs w:val="21"/>
        </w:rPr>
        <w:t>1</w:t>
      </w:r>
      <w:r>
        <w:rPr>
          <w:rFonts w:ascii="Times New Roman" w:hAnsi="Times New Roman" w:eastAsia="宋体" w:cs="Times New Roman"/>
          <w:sz w:val="21"/>
          <w:szCs w:val="21"/>
        </w:rPr>
        <w:t xml:space="preserve"> 49组数据拟合分析试验结果</w:t>
      </w:r>
      <w:bookmarkEnd w:id="56"/>
    </w:p>
    <w:tbl>
      <w:tblPr>
        <w:tblStyle w:val="25"/>
        <w:tblW w:w="5000" w:type="pct"/>
        <w:tblInd w:w="0" w:type="dxa"/>
        <w:tblLayout w:type="autofit"/>
        <w:tblCellMar>
          <w:top w:w="0" w:type="dxa"/>
          <w:left w:w="108" w:type="dxa"/>
          <w:bottom w:w="0" w:type="dxa"/>
          <w:right w:w="108" w:type="dxa"/>
        </w:tblCellMar>
      </w:tblPr>
      <w:tblGrid>
        <w:gridCol w:w="1476"/>
        <w:gridCol w:w="1022"/>
        <w:gridCol w:w="753"/>
        <w:gridCol w:w="753"/>
        <w:gridCol w:w="753"/>
        <w:gridCol w:w="753"/>
        <w:gridCol w:w="753"/>
        <w:gridCol w:w="753"/>
        <w:gridCol w:w="753"/>
        <w:gridCol w:w="753"/>
      </w:tblGrid>
      <w:tr w14:paraId="54D45BD1">
        <w:tblPrEx>
          <w:tblCellMar>
            <w:top w:w="0" w:type="dxa"/>
            <w:left w:w="108" w:type="dxa"/>
            <w:bottom w:w="0" w:type="dxa"/>
            <w:right w:w="108" w:type="dxa"/>
          </w:tblCellMar>
        </w:tblPrEx>
        <w:trPr>
          <w:trHeight w:val="371" w:hRule="atLeast"/>
        </w:trPr>
        <w:tc>
          <w:tcPr>
            <w:tcW w:w="782" w:type="pct"/>
            <w:vMerge w:val="restart"/>
            <w:tcBorders>
              <w:top w:val="single" w:color="auto" w:sz="4" w:space="0"/>
              <w:left w:val="single" w:color="auto" w:sz="4" w:space="0"/>
              <w:right w:val="single" w:color="auto" w:sz="4" w:space="0"/>
            </w:tcBorders>
            <w:shd w:val="clear" w:color="auto" w:fill="auto"/>
            <w:noWrap/>
            <w:vAlign w:val="center"/>
          </w:tcPr>
          <w:p w14:paraId="7642F5C0">
            <w:pPr>
              <w:widowControl/>
              <w:spacing w:line="240" w:lineRule="auto"/>
              <w:ind w:firstLine="0" w:firstLineChars="0"/>
              <w:jc w:val="center"/>
              <w:rPr>
                <w:color w:val="000000"/>
                <w:kern w:val="0"/>
                <w:szCs w:val="21"/>
              </w:rPr>
            </w:pPr>
            <w:r>
              <w:rPr>
                <w:rFonts w:hint="eastAsia"/>
                <w:color w:val="000000"/>
                <w:kern w:val="0"/>
                <w:szCs w:val="21"/>
              </w:rPr>
              <w:t>某国家级</w:t>
            </w:r>
          </w:p>
          <w:p w14:paraId="0BD44A03">
            <w:pPr>
              <w:widowControl/>
              <w:spacing w:line="240" w:lineRule="auto"/>
              <w:ind w:firstLine="0" w:firstLineChars="0"/>
              <w:jc w:val="center"/>
              <w:rPr>
                <w:color w:val="000000"/>
                <w:kern w:val="0"/>
                <w:szCs w:val="21"/>
              </w:rPr>
            </w:pPr>
            <w:r>
              <w:rPr>
                <w:rFonts w:hint="eastAsia"/>
                <w:color w:val="000000"/>
                <w:kern w:val="0"/>
                <w:szCs w:val="21"/>
              </w:rPr>
              <w:t>科研</w:t>
            </w:r>
            <w:r>
              <w:rPr>
                <w:color w:val="000000"/>
                <w:kern w:val="0"/>
                <w:szCs w:val="21"/>
              </w:rPr>
              <w:t>项目</w:t>
            </w:r>
            <w:r>
              <w:rPr>
                <w:rFonts w:hint="eastAsia"/>
                <w:color w:val="000000"/>
                <w:kern w:val="0"/>
                <w:szCs w:val="21"/>
              </w:rPr>
              <w:t>成果</w:t>
            </w:r>
          </w:p>
        </w:tc>
        <w:tc>
          <w:tcPr>
            <w:tcW w:w="609" w:type="pct"/>
            <w:tcBorders>
              <w:top w:val="single" w:color="auto" w:sz="4" w:space="0"/>
              <w:left w:val="nil"/>
              <w:bottom w:val="single" w:color="auto" w:sz="4" w:space="0"/>
              <w:right w:val="single" w:color="auto" w:sz="4" w:space="0"/>
            </w:tcBorders>
            <w:shd w:val="clear" w:color="auto" w:fill="auto"/>
            <w:noWrap/>
            <w:vAlign w:val="bottom"/>
          </w:tcPr>
          <w:p w14:paraId="6A280F15">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1DD78919">
            <w:pPr>
              <w:widowControl/>
              <w:spacing w:line="240" w:lineRule="auto"/>
              <w:ind w:firstLine="0" w:firstLineChars="0"/>
              <w:jc w:val="center"/>
              <w:rPr>
                <w:color w:val="000000"/>
                <w:kern w:val="0"/>
                <w:szCs w:val="21"/>
              </w:rPr>
            </w:pPr>
            <w:r>
              <w:rPr>
                <w:color w:val="000000"/>
                <w:kern w:val="0"/>
                <w:szCs w:val="21"/>
              </w:rPr>
              <w:t xml:space="preserve">0.98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70B35035">
            <w:pPr>
              <w:widowControl/>
              <w:spacing w:line="240" w:lineRule="auto"/>
              <w:ind w:firstLine="0" w:firstLineChars="0"/>
              <w:jc w:val="center"/>
              <w:rPr>
                <w:color w:val="000000"/>
                <w:kern w:val="0"/>
                <w:szCs w:val="21"/>
              </w:rPr>
            </w:pPr>
            <w:r>
              <w:rPr>
                <w:color w:val="000000"/>
                <w:kern w:val="0"/>
                <w:szCs w:val="21"/>
              </w:rPr>
              <w:t xml:space="preserve">0.93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2A18F013">
            <w:pPr>
              <w:widowControl/>
              <w:spacing w:line="240" w:lineRule="auto"/>
              <w:ind w:firstLine="0" w:firstLineChars="0"/>
              <w:jc w:val="center"/>
              <w:rPr>
                <w:color w:val="000000"/>
                <w:kern w:val="0"/>
                <w:szCs w:val="21"/>
              </w:rPr>
            </w:pPr>
            <w:r>
              <w:rPr>
                <w:color w:val="000000"/>
                <w:kern w:val="0"/>
                <w:szCs w:val="21"/>
              </w:rPr>
              <w:t xml:space="preserve">0.99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19BED542">
            <w:pPr>
              <w:widowControl/>
              <w:spacing w:line="240" w:lineRule="auto"/>
              <w:ind w:firstLine="0" w:firstLineChars="0"/>
              <w:jc w:val="center"/>
              <w:rPr>
                <w:color w:val="000000"/>
                <w:kern w:val="0"/>
                <w:szCs w:val="21"/>
              </w:rPr>
            </w:pPr>
            <w:r>
              <w:rPr>
                <w:color w:val="000000"/>
                <w:kern w:val="0"/>
                <w:szCs w:val="21"/>
              </w:rPr>
              <w:t xml:space="preserve">0.96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4907FBF9">
            <w:pPr>
              <w:widowControl/>
              <w:spacing w:line="240" w:lineRule="auto"/>
              <w:ind w:firstLine="0" w:firstLineChars="0"/>
              <w:jc w:val="center"/>
              <w:rPr>
                <w:color w:val="000000"/>
                <w:kern w:val="0"/>
                <w:szCs w:val="21"/>
              </w:rPr>
            </w:pPr>
            <w:r>
              <w:rPr>
                <w:color w:val="000000"/>
                <w:kern w:val="0"/>
                <w:szCs w:val="21"/>
              </w:rPr>
              <w:t xml:space="preserve">0.86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525A65BC">
            <w:pPr>
              <w:widowControl/>
              <w:spacing w:line="240" w:lineRule="auto"/>
              <w:ind w:firstLine="0" w:firstLineChars="0"/>
              <w:jc w:val="center"/>
              <w:rPr>
                <w:color w:val="000000"/>
                <w:kern w:val="0"/>
                <w:szCs w:val="21"/>
              </w:rPr>
            </w:pPr>
            <w:r>
              <w:rPr>
                <w:color w:val="000000"/>
                <w:kern w:val="0"/>
                <w:szCs w:val="21"/>
              </w:rPr>
              <w:t xml:space="preserve">0.98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70FDB4CF">
            <w:pPr>
              <w:widowControl/>
              <w:spacing w:line="240" w:lineRule="auto"/>
              <w:ind w:firstLine="0" w:firstLineChars="0"/>
              <w:jc w:val="center"/>
              <w:rPr>
                <w:color w:val="000000"/>
                <w:kern w:val="0"/>
                <w:szCs w:val="21"/>
              </w:rPr>
            </w:pPr>
            <w:r>
              <w:rPr>
                <w:color w:val="000000"/>
                <w:kern w:val="0"/>
                <w:szCs w:val="21"/>
              </w:rPr>
              <w:t xml:space="preserve">0.86 </w:t>
            </w:r>
          </w:p>
        </w:tc>
        <w:tc>
          <w:tcPr>
            <w:tcW w:w="451" w:type="pct"/>
            <w:tcBorders>
              <w:top w:val="single" w:color="auto" w:sz="4" w:space="0"/>
              <w:left w:val="nil"/>
              <w:bottom w:val="single" w:color="auto" w:sz="4" w:space="0"/>
              <w:right w:val="single" w:color="auto" w:sz="4" w:space="0"/>
            </w:tcBorders>
            <w:shd w:val="clear" w:color="auto" w:fill="auto"/>
            <w:noWrap/>
            <w:vAlign w:val="center"/>
          </w:tcPr>
          <w:p w14:paraId="500E6F65">
            <w:pPr>
              <w:widowControl/>
              <w:spacing w:line="240" w:lineRule="auto"/>
              <w:ind w:firstLine="0" w:firstLineChars="0"/>
              <w:jc w:val="center"/>
              <w:rPr>
                <w:color w:val="000000"/>
                <w:kern w:val="0"/>
                <w:szCs w:val="21"/>
              </w:rPr>
            </w:pPr>
            <w:r>
              <w:rPr>
                <w:color w:val="000000"/>
                <w:kern w:val="0"/>
                <w:szCs w:val="21"/>
              </w:rPr>
              <w:t xml:space="preserve">0.87 </w:t>
            </w:r>
          </w:p>
        </w:tc>
      </w:tr>
      <w:tr w14:paraId="332277E2">
        <w:tblPrEx>
          <w:tblCellMar>
            <w:top w:w="0" w:type="dxa"/>
            <w:left w:w="108" w:type="dxa"/>
            <w:bottom w:w="0" w:type="dxa"/>
            <w:right w:w="108" w:type="dxa"/>
          </w:tblCellMar>
        </w:tblPrEx>
        <w:trPr>
          <w:trHeight w:val="371" w:hRule="atLeast"/>
        </w:trPr>
        <w:tc>
          <w:tcPr>
            <w:tcW w:w="782" w:type="pct"/>
            <w:vMerge w:val="continue"/>
            <w:tcBorders>
              <w:left w:val="single" w:color="auto" w:sz="4" w:space="0"/>
              <w:right w:val="single" w:color="auto" w:sz="4" w:space="0"/>
            </w:tcBorders>
            <w:shd w:val="clear" w:color="auto" w:fill="auto"/>
            <w:vAlign w:val="center"/>
          </w:tcPr>
          <w:p w14:paraId="71D350DE">
            <w:pPr>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52D23CB9">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66706A95">
            <w:pPr>
              <w:widowControl/>
              <w:spacing w:line="240" w:lineRule="auto"/>
              <w:ind w:firstLine="0" w:firstLineChars="0"/>
              <w:jc w:val="center"/>
              <w:rPr>
                <w:color w:val="000000"/>
                <w:kern w:val="0"/>
                <w:szCs w:val="21"/>
              </w:rPr>
            </w:pPr>
            <w:r>
              <w:rPr>
                <w:color w:val="000000"/>
                <w:kern w:val="0"/>
                <w:szCs w:val="21"/>
              </w:rPr>
              <w:t xml:space="preserve">0.31 </w:t>
            </w:r>
          </w:p>
        </w:tc>
        <w:tc>
          <w:tcPr>
            <w:tcW w:w="451" w:type="pct"/>
            <w:tcBorders>
              <w:top w:val="nil"/>
              <w:left w:val="nil"/>
              <w:bottom w:val="single" w:color="auto" w:sz="4" w:space="0"/>
              <w:right w:val="single" w:color="auto" w:sz="4" w:space="0"/>
            </w:tcBorders>
            <w:shd w:val="clear" w:color="auto" w:fill="auto"/>
            <w:noWrap/>
            <w:vAlign w:val="center"/>
          </w:tcPr>
          <w:p w14:paraId="01B5CD1F">
            <w:pPr>
              <w:widowControl/>
              <w:spacing w:line="240" w:lineRule="auto"/>
              <w:ind w:firstLine="0" w:firstLineChars="0"/>
              <w:jc w:val="center"/>
              <w:rPr>
                <w:color w:val="000000"/>
                <w:kern w:val="0"/>
                <w:szCs w:val="21"/>
              </w:rPr>
            </w:pPr>
            <w:r>
              <w:rPr>
                <w:color w:val="000000"/>
                <w:kern w:val="0"/>
                <w:szCs w:val="21"/>
              </w:rPr>
              <w:t xml:space="preserve">0.37 </w:t>
            </w:r>
          </w:p>
        </w:tc>
        <w:tc>
          <w:tcPr>
            <w:tcW w:w="451" w:type="pct"/>
            <w:tcBorders>
              <w:top w:val="nil"/>
              <w:left w:val="nil"/>
              <w:bottom w:val="single" w:color="auto" w:sz="4" w:space="0"/>
              <w:right w:val="single" w:color="auto" w:sz="4" w:space="0"/>
            </w:tcBorders>
            <w:shd w:val="clear" w:color="auto" w:fill="auto"/>
            <w:noWrap/>
            <w:vAlign w:val="center"/>
          </w:tcPr>
          <w:p w14:paraId="368ABC75">
            <w:pPr>
              <w:widowControl/>
              <w:spacing w:line="240" w:lineRule="auto"/>
              <w:ind w:firstLine="0" w:firstLineChars="0"/>
              <w:jc w:val="center"/>
              <w:rPr>
                <w:color w:val="000000"/>
                <w:kern w:val="0"/>
                <w:szCs w:val="21"/>
              </w:rPr>
            </w:pPr>
            <w:r>
              <w:rPr>
                <w:color w:val="000000"/>
                <w:kern w:val="0"/>
                <w:szCs w:val="21"/>
              </w:rPr>
              <w:t xml:space="preserve">0.31 </w:t>
            </w:r>
          </w:p>
        </w:tc>
        <w:tc>
          <w:tcPr>
            <w:tcW w:w="451" w:type="pct"/>
            <w:tcBorders>
              <w:top w:val="nil"/>
              <w:left w:val="nil"/>
              <w:bottom w:val="single" w:color="auto" w:sz="4" w:space="0"/>
              <w:right w:val="single" w:color="auto" w:sz="4" w:space="0"/>
            </w:tcBorders>
            <w:shd w:val="clear" w:color="auto" w:fill="auto"/>
            <w:noWrap/>
            <w:vAlign w:val="center"/>
          </w:tcPr>
          <w:p w14:paraId="036CB611">
            <w:pPr>
              <w:widowControl/>
              <w:spacing w:line="240" w:lineRule="auto"/>
              <w:ind w:firstLine="0" w:firstLineChars="0"/>
              <w:jc w:val="center"/>
              <w:rPr>
                <w:color w:val="000000"/>
                <w:kern w:val="0"/>
                <w:szCs w:val="21"/>
              </w:rPr>
            </w:pPr>
            <w:r>
              <w:rPr>
                <w:color w:val="000000"/>
                <w:kern w:val="0"/>
                <w:szCs w:val="21"/>
              </w:rPr>
              <w:t xml:space="preserve">0.33 </w:t>
            </w:r>
          </w:p>
        </w:tc>
        <w:tc>
          <w:tcPr>
            <w:tcW w:w="451" w:type="pct"/>
            <w:tcBorders>
              <w:top w:val="nil"/>
              <w:left w:val="nil"/>
              <w:bottom w:val="single" w:color="auto" w:sz="4" w:space="0"/>
              <w:right w:val="single" w:color="auto" w:sz="4" w:space="0"/>
            </w:tcBorders>
            <w:shd w:val="clear" w:color="auto" w:fill="auto"/>
            <w:noWrap/>
            <w:vAlign w:val="center"/>
          </w:tcPr>
          <w:p w14:paraId="7C916152">
            <w:pPr>
              <w:widowControl/>
              <w:spacing w:line="240" w:lineRule="auto"/>
              <w:ind w:firstLine="0" w:firstLineChars="0"/>
              <w:jc w:val="center"/>
              <w:rPr>
                <w:color w:val="000000"/>
                <w:kern w:val="0"/>
                <w:szCs w:val="21"/>
              </w:rPr>
            </w:pPr>
            <w:r>
              <w:rPr>
                <w:color w:val="000000"/>
                <w:kern w:val="0"/>
                <w:szCs w:val="21"/>
              </w:rPr>
              <w:t xml:space="preserve">0.27 </w:t>
            </w:r>
          </w:p>
        </w:tc>
        <w:tc>
          <w:tcPr>
            <w:tcW w:w="451" w:type="pct"/>
            <w:tcBorders>
              <w:top w:val="nil"/>
              <w:left w:val="nil"/>
              <w:bottom w:val="single" w:color="auto" w:sz="4" w:space="0"/>
              <w:right w:val="single" w:color="auto" w:sz="4" w:space="0"/>
            </w:tcBorders>
            <w:shd w:val="clear" w:color="auto" w:fill="auto"/>
            <w:noWrap/>
            <w:vAlign w:val="center"/>
          </w:tcPr>
          <w:p w14:paraId="704F7B00">
            <w:pPr>
              <w:widowControl/>
              <w:spacing w:line="240" w:lineRule="auto"/>
              <w:ind w:firstLine="0" w:firstLineChars="0"/>
              <w:jc w:val="center"/>
              <w:rPr>
                <w:color w:val="000000"/>
                <w:kern w:val="0"/>
                <w:szCs w:val="21"/>
              </w:rPr>
            </w:pPr>
            <w:r>
              <w:rPr>
                <w:color w:val="000000"/>
                <w:kern w:val="0"/>
                <w:szCs w:val="21"/>
              </w:rPr>
              <w:t xml:space="preserve">0.33 </w:t>
            </w:r>
          </w:p>
        </w:tc>
        <w:tc>
          <w:tcPr>
            <w:tcW w:w="451" w:type="pct"/>
            <w:tcBorders>
              <w:top w:val="nil"/>
              <w:left w:val="nil"/>
              <w:bottom w:val="single" w:color="auto" w:sz="4" w:space="0"/>
              <w:right w:val="single" w:color="auto" w:sz="4" w:space="0"/>
            </w:tcBorders>
            <w:shd w:val="clear" w:color="auto" w:fill="auto"/>
            <w:noWrap/>
            <w:vAlign w:val="center"/>
          </w:tcPr>
          <w:p w14:paraId="342EA4B7">
            <w:pPr>
              <w:widowControl/>
              <w:spacing w:line="240" w:lineRule="auto"/>
              <w:ind w:firstLine="0" w:firstLineChars="0"/>
              <w:jc w:val="center"/>
              <w:rPr>
                <w:color w:val="000000"/>
                <w:kern w:val="0"/>
                <w:szCs w:val="21"/>
              </w:rPr>
            </w:pPr>
            <w:r>
              <w:rPr>
                <w:color w:val="000000"/>
                <w:kern w:val="0"/>
                <w:szCs w:val="21"/>
              </w:rPr>
              <w:t xml:space="preserve">0.34 </w:t>
            </w:r>
          </w:p>
        </w:tc>
        <w:tc>
          <w:tcPr>
            <w:tcW w:w="451" w:type="pct"/>
            <w:tcBorders>
              <w:top w:val="nil"/>
              <w:left w:val="nil"/>
              <w:bottom w:val="single" w:color="auto" w:sz="4" w:space="0"/>
              <w:right w:val="single" w:color="auto" w:sz="4" w:space="0"/>
            </w:tcBorders>
            <w:shd w:val="clear" w:color="auto" w:fill="auto"/>
            <w:noWrap/>
            <w:vAlign w:val="center"/>
          </w:tcPr>
          <w:p w14:paraId="7C71C1BD">
            <w:pPr>
              <w:widowControl/>
              <w:spacing w:line="240" w:lineRule="auto"/>
              <w:ind w:firstLine="0" w:firstLineChars="0"/>
              <w:jc w:val="center"/>
              <w:rPr>
                <w:color w:val="000000"/>
                <w:kern w:val="0"/>
                <w:szCs w:val="21"/>
              </w:rPr>
            </w:pPr>
            <w:r>
              <w:rPr>
                <w:color w:val="000000"/>
                <w:kern w:val="0"/>
                <w:szCs w:val="21"/>
              </w:rPr>
              <w:t xml:space="preserve">0.42 </w:t>
            </w:r>
          </w:p>
        </w:tc>
      </w:tr>
      <w:tr w14:paraId="4CB2B2FD">
        <w:tblPrEx>
          <w:tblCellMar>
            <w:top w:w="0" w:type="dxa"/>
            <w:left w:w="108" w:type="dxa"/>
            <w:bottom w:w="0" w:type="dxa"/>
            <w:right w:w="108" w:type="dxa"/>
          </w:tblCellMar>
        </w:tblPrEx>
        <w:trPr>
          <w:trHeight w:val="371" w:hRule="atLeast"/>
        </w:trPr>
        <w:tc>
          <w:tcPr>
            <w:tcW w:w="782" w:type="pct"/>
            <w:vMerge w:val="continue"/>
            <w:tcBorders>
              <w:left w:val="single" w:color="auto" w:sz="4" w:space="0"/>
              <w:right w:val="single" w:color="auto" w:sz="4" w:space="0"/>
            </w:tcBorders>
            <w:shd w:val="clear" w:color="auto" w:fill="auto"/>
            <w:vAlign w:val="center"/>
          </w:tcPr>
          <w:p w14:paraId="4C5DD545">
            <w:pPr>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46CB8C70">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nil"/>
              <w:left w:val="nil"/>
              <w:bottom w:val="single" w:color="auto" w:sz="4" w:space="0"/>
              <w:right w:val="single" w:color="auto" w:sz="4" w:space="0"/>
            </w:tcBorders>
            <w:shd w:val="clear" w:color="auto" w:fill="auto"/>
            <w:noWrap/>
            <w:vAlign w:val="center"/>
          </w:tcPr>
          <w:p w14:paraId="09D76C66">
            <w:pPr>
              <w:widowControl/>
              <w:spacing w:line="240" w:lineRule="auto"/>
              <w:ind w:firstLine="0" w:firstLineChars="0"/>
              <w:jc w:val="center"/>
              <w:rPr>
                <w:color w:val="000000"/>
                <w:kern w:val="0"/>
                <w:szCs w:val="21"/>
              </w:rPr>
            </w:pPr>
            <w:r>
              <w:rPr>
                <w:color w:val="000000"/>
                <w:kern w:val="0"/>
                <w:szCs w:val="21"/>
              </w:rPr>
              <w:t xml:space="preserve">0.94 </w:t>
            </w:r>
          </w:p>
        </w:tc>
        <w:tc>
          <w:tcPr>
            <w:tcW w:w="451" w:type="pct"/>
            <w:tcBorders>
              <w:top w:val="nil"/>
              <w:left w:val="nil"/>
              <w:bottom w:val="single" w:color="auto" w:sz="4" w:space="0"/>
              <w:right w:val="single" w:color="auto" w:sz="4" w:space="0"/>
            </w:tcBorders>
            <w:shd w:val="clear" w:color="auto" w:fill="auto"/>
            <w:noWrap/>
            <w:vAlign w:val="center"/>
          </w:tcPr>
          <w:p w14:paraId="28663203">
            <w:pPr>
              <w:widowControl/>
              <w:spacing w:line="240" w:lineRule="auto"/>
              <w:ind w:firstLine="0" w:firstLineChars="0"/>
              <w:jc w:val="center"/>
              <w:rPr>
                <w:color w:val="000000"/>
                <w:kern w:val="0"/>
                <w:szCs w:val="21"/>
              </w:rPr>
            </w:pPr>
            <w:r>
              <w:rPr>
                <w:color w:val="000000"/>
                <w:kern w:val="0"/>
                <w:szCs w:val="21"/>
              </w:rPr>
              <w:t xml:space="preserve">0.90 </w:t>
            </w:r>
          </w:p>
        </w:tc>
        <w:tc>
          <w:tcPr>
            <w:tcW w:w="451" w:type="pct"/>
            <w:tcBorders>
              <w:top w:val="nil"/>
              <w:left w:val="nil"/>
              <w:bottom w:val="single" w:color="auto" w:sz="4" w:space="0"/>
              <w:right w:val="single" w:color="auto" w:sz="4" w:space="0"/>
            </w:tcBorders>
            <w:shd w:val="clear" w:color="auto" w:fill="auto"/>
            <w:noWrap/>
            <w:vAlign w:val="center"/>
          </w:tcPr>
          <w:p w14:paraId="73997654">
            <w:pPr>
              <w:widowControl/>
              <w:spacing w:line="240" w:lineRule="auto"/>
              <w:ind w:firstLine="0" w:firstLineChars="0"/>
              <w:jc w:val="center"/>
              <w:rPr>
                <w:color w:val="000000"/>
                <w:kern w:val="0"/>
                <w:szCs w:val="21"/>
              </w:rPr>
            </w:pPr>
            <w:r>
              <w:rPr>
                <w:color w:val="000000"/>
                <w:kern w:val="0"/>
                <w:szCs w:val="21"/>
              </w:rPr>
              <w:t xml:space="preserve">0.92 </w:t>
            </w:r>
          </w:p>
        </w:tc>
        <w:tc>
          <w:tcPr>
            <w:tcW w:w="451" w:type="pct"/>
            <w:tcBorders>
              <w:top w:val="nil"/>
              <w:left w:val="nil"/>
              <w:bottom w:val="single" w:color="auto" w:sz="4" w:space="0"/>
              <w:right w:val="single" w:color="auto" w:sz="4" w:space="0"/>
            </w:tcBorders>
            <w:shd w:val="clear" w:color="auto" w:fill="auto"/>
            <w:noWrap/>
            <w:vAlign w:val="center"/>
          </w:tcPr>
          <w:p w14:paraId="615D5B2A">
            <w:pPr>
              <w:widowControl/>
              <w:spacing w:line="240" w:lineRule="auto"/>
              <w:ind w:firstLine="0" w:firstLineChars="0"/>
              <w:jc w:val="center"/>
              <w:rPr>
                <w:color w:val="000000"/>
                <w:kern w:val="0"/>
                <w:szCs w:val="21"/>
              </w:rPr>
            </w:pPr>
            <w:r>
              <w:rPr>
                <w:color w:val="000000"/>
                <w:kern w:val="0"/>
                <w:szCs w:val="21"/>
              </w:rPr>
              <w:t xml:space="preserve">0.96 </w:t>
            </w:r>
          </w:p>
        </w:tc>
        <w:tc>
          <w:tcPr>
            <w:tcW w:w="451" w:type="pct"/>
            <w:tcBorders>
              <w:top w:val="nil"/>
              <w:left w:val="nil"/>
              <w:bottom w:val="single" w:color="auto" w:sz="4" w:space="0"/>
              <w:right w:val="single" w:color="auto" w:sz="4" w:space="0"/>
            </w:tcBorders>
            <w:shd w:val="clear" w:color="auto" w:fill="auto"/>
            <w:noWrap/>
            <w:vAlign w:val="center"/>
          </w:tcPr>
          <w:p w14:paraId="557F54C4">
            <w:pPr>
              <w:widowControl/>
              <w:spacing w:line="240" w:lineRule="auto"/>
              <w:ind w:firstLine="0" w:firstLineChars="0"/>
              <w:jc w:val="center"/>
              <w:rPr>
                <w:color w:val="000000"/>
                <w:kern w:val="0"/>
                <w:szCs w:val="21"/>
              </w:rPr>
            </w:pPr>
            <w:r>
              <w:rPr>
                <w:color w:val="000000"/>
                <w:kern w:val="0"/>
                <w:szCs w:val="21"/>
              </w:rPr>
              <w:t xml:space="preserve">0.93 </w:t>
            </w:r>
          </w:p>
        </w:tc>
        <w:tc>
          <w:tcPr>
            <w:tcW w:w="451" w:type="pct"/>
            <w:tcBorders>
              <w:top w:val="nil"/>
              <w:left w:val="nil"/>
              <w:bottom w:val="single" w:color="auto" w:sz="4" w:space="0"/>
              <w:right w:val="single" w:color="auto" w:sz="4" w:space="0"/>
            </w:tcBorders>
            <w:shd w:val="clear" w:color="auto" w:fill="auto"/>
            <w:noWrap/>
            <w:vAlign w:val="center"/>
          </w:tcPr>
          <w:p w14:paraId="10E3BC5F">
            <w:pPr>
              <w:widowControl/>
              <w:spacing w:line="240" w:lineRule="auto"/>
              <w:ind w:firstLine="0" w:firstLineChars="0"/>
              <w:jc w:val="center"/>
              <w:rPr>
                <w:color w:val="000000"/>
                <w:kern w:val="0"/>
                <w:szCs w:val="21"/>
              </w:rPr>
            </w:pPr>
            <w:r>
              <w:rPr>
                <w:color w:val="000000"/>
                <w:kern w:val="0"/>
                <w:szCs w:val="21"/>
              </w:rPr>
              <w:t xml:space="preserve">0.93 </w:t>
            </w:r>
          </w:p>
        </w:tc>
        <w:tc>
          <w:tcPr>
            <w:tcW w:w="451" w:type="pct"/>
            <w:tcBorders>
              <w:top w:val="nil"/>
              <w:left w:val="nil"/>
              <w:bottom w:val="single" w:color="auto" w:sz="4" w:space="0"/>
              <w:right w:val="single" w:color="auto" w:sz="4" w:space="0"/>
            </w:tcBorders>
            <w:shd w:val="clear" w:color="auto" w:fill="auto"/>
            <w:noWrap/>
            <w:vAlign w:val="center"/>
          </w:tcPr>
          <w:p w14:paraId="0BBE41D6">
            <w:pPr>
              <w:widowControl/>
              <w:spacing w:line="240" w:lineRule="auto"/>
              <w:ind w:firstLine="0" w:firstLineChars="0"/>
              <w:jc w:val="center"/>
              <w:rPr>
                <w:color w:val="000000"/>
                <w:kern w:val="0"/>
                <w:szCs w:val="21"/>
              </w:rPr>
            </w:pPr>
            <w:r>
              <w:rPr>
                <w:color w:val="000000"/>
                <w:kern w:val="0"/>
                <w:szCs w:val="21"/>
              </w:rPr>
              <w:t xml:space="preserve">0.95 </w:t>
            </w:r>
          </w:p>
        </w:tc>
        <w:tc>
          <w:tcPr>
            <w:tcW w:w="451" w:type="pct"/>
            <w:tcBorders>
              <w:top w:val="nil"/>
              <w:left w:val="nil"/>
              <w:bottom w:val="single" w:color="auto" w:sz="4" w:space="0"/>
              <w:right w:val="single" w:color="auto" w:sz="4" w:space="0"/>
            </w:tcBorders>
            <w:shd w:val="clear" w:color="auto" w:fill="auto"/>
            <w:noWrap/>
            <w:vAlign w:val="center"/>
          </w:tcPr>
          <w:p w14:paraId="1CF0607F">
            <w:pPr>
              <w:widowControl/>
              <w:spacing w:line="240" w:lineRule="auto"/>
              <w:ind w:firstLine="0" w:firstLineChars="0"/>
              <w:jc w:val="center"/>
              <w:rPr>
                <w:color w:val="000000"/>
                <w:kern w:val="0"/>
                <w:szCs w:val="21"/>
              </w:rPr>
            </w:pPr>
            <w:r>
              <w:rPr>
                <w:color w:val="000000"/>
                <w:kern w:val="0"/>
                <w:szCs w:val="21"/>
              </w:rPr>
              <w:t xml:space="preserve">0.96 </w:t>
            </w:r>
          </w:p>
        </w:tc>
      </w:tr>
      <w:tr w14:paraId="5260122D">
        <w:tblPrEx>
          <w:tblCellMar>
            <w:top w:w="0" w:type="dxa"/>
            <w:left w:w="108" w:type="dxa"/>
            <w:bottom w:w="0" w:type="dxa"/>
            <w:right w:w="108" w:type="dxa"/>
          </w:tblCellMar>
        </w:tblPrEx>
        <w:trPr>
          <w:trHeight w:val="371" w:hRule="atLeast"/>
        </w:trPr>
        <w:tc>
          <w:tcPr>
            <w:tcW w:w="782" w:type="pct"/>
            <w:vMerge w:val="continue"/>
            <w:tcBorders>
              <w:left w:val="single" w:color="auto" w:sz="4" w:space="0"/>
              <w:bottom w:val="single" w:color="auto" w:sz="4" w:space="0"/>
              <w:right w:val="single" w:color="auto" w:sz="4" w:space="0"/>
            </w:tcBorders>
            <w:shd w:val="clear" w:color="auto" w:fill="auto"/>
            <w:vAlign w:val="center"/>
          </w:tcPr>
          <w:p w14:paraId="7E897F5B">
            <w:pPr>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7BE7B207">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02A5AD02">
            <w:pPr>
              <w:widowControl/>
              <w:spacing w:line="240" w:lineRule="auto"/>
              <w:ind w:firstLine="0" w:firstLineChars="0"/>
              <w:jc w:val="center"/>
              <w:rPr>
                <w:color w:val="000000"/>
                <w:kern w:val="0"/>
                <w:szCs w:val="21"/>
              </w:rPr>
            </w:pPr>
            <w:r>
              <w:rPr>
                <w:color w:val="000000"/>
                <w:kern w:val="0"/>
                <w:szCs w:val="21"/>
              </w:rPr>
              <w:t xml:space="preserve">0.36 </w:t>
            </w:r>
          </w:p>
        </w:tc>
        <w:tc>
          <w:tcPr>
            <w:tcW w:w="451" w:type="pct"/>
            <w:tcBorders>
              <w:top w:val="nil"/>
              <w:left w:val="nil"/>
              <w:bottom w:val="single" w:color="auto" w:sz="4" w:space="0"/>
              <w:right w:val="single" w:color="auto" w:sz="4" w:space="0"/>
            </w:tcBorders>
            <w:shd w:val="clear" w:color="auto" w:fill="auto"/>
            <w:noWrap/>
            <w:vAlign w:val="center"/>
          </w:tcPr>
          <w:p w14:paraId="28EADFF3">
            <w:pPr>
              <w:widowControl/>
              <w:spacing w:line="240" w:lineRule="auto"/>
              <w:ind w:firstLine="0" w:firstLineChars="0"/>
              <w:jc w:val="center"/>
              <w:rPr>
                <w:color w:val="000000"/>
                <w:kern w:val="0"/>
                <w:szCs w:val="21"/>
              </w:rPr>
            </w:pPr>
            <w:r>
              <w:rPr>
                <w:color w:val="000000"/>
                <w:kern w:val="0"/>
                <w:szCs w:val="21"/>
              </w:rPr>
              <w:t xml:space="preserve">0.34 </w:t>
            </w:r>
          </w:p>
        </w:tc>
        <w:tc>
          <w:tcPr>
            <w:tcW w:w="451" w:type="pct"/>
            <w:tcBorders>
              <w:top w:val="nil"/>
              <w:left w:val="nil"/>
              <w:bottom w:val="single" w:color="auto" w:sz="4" w:space="0"/>
              <w:right w:val="single" w:color="auto" w:sz="4" w:space="0"/>
            </w:tcBorders>
            <w:shd w:val="clear" w:color="auto" w:fill="auto"/>
            <w:noWrap/>
            <w:vAlign w:val="center"/>
          </w:tcPr>
          <w:p w14:paraId="559E25ED">
            <w:pPr>
              <w:widowControl/>
              <w:spacing w:line="240" w:lineRule="auto"/>
              <w:ind w:firstLine="0" w:firstLineChars="0"/>
              <w:jc w:val="center"/>
              <w:rPr>
                <w:color w:val="000000"/>
                <w:kern w:val="0"/>
                <w:szCs w:val="21"/>
              </w:rPr>
            </w:pPr>
            <w:r>
              <w:rPr>
                <w:color w:val="000000"/>
                <w:kern w:val="0"/>
                <w:szCs w:val="21"/>
              </w:rPr>
              <w:t xml:space="preserve">0.32 </w:t>
            </w:r>
          </w:p>
        </w:tc>
        <w:tc>
          <w:tcPr>
            <w:tcW w:w="451" w:type="pct"/>
            <w:tcBorders>
              <w:top w:val="nil"/>
              <w:left w:val="nil"/>
              <w:bottom w:val="single" w:color="auto" w:sz="4" w:space="0"/>
              <w:right w:val="single" w:color="auto" w:sz="4" w:space="0"/>
            </w:tcBorders>
            <w:shd w:val="clear" w:color="auto" w:fill="auto"/>
            <w:noWrap/>
            <w:vAlign w:val="center"/>
          </w:tcPr>
          <w:p w14:paraId="2F21CBDE">
            <w:pPr>
              <w:widowControl/>
              <w:spacing w:line="240" w:lineRule="auto"/>
              <w:ind w:firstLine="0" w:firstLineChars="0"/>
              <w:jc w:val="center"/>
              <w:rPr>
                <w:color w:val="000000"/>
                <w:kern w:val="0"/>
                <w:szCs w:val="21"/>
              </w:rPr>
            </w:pPr>
            <w:r>
              <w:rPr>
                <w:color w:val="000000"/>
                <w:kern w:val="0"/>
                <w:szCs w:val="21"/>
              </w:rPr>
              <w:t xml:space="preserve">0.32 </w:t>
            </w:r>
          </w:p>
        </w:tc>
        <w:tc>
          <w:tcPr>
            <w:tcW w:w="451" w:type="pct"/>
            <w:tcBorders>
              <w:top w:val="nil"/>
              <w:left w:val="nil"/>
              <w:bottom w:val="single" w:color="auto" w:sz="4" w:space="0"/>
              <w:right w:val="single" w:color="auto" w:sz="4" w:space="0"/>
            </w:tcBorders>
            <w:shd w:val="clear" w:color="auto" w:fill="auto"/>
            <w:noWrap/>
            <w:vAlign w:val="center"/>
          </w:tcPr>
          <w:p w14:paraId="3E96C42A">
            <w:pPr>
              <w:widowControl/>
              <w:spacing w:line="240" w:lineRule="auto"/>
              <w:ind w:firstLine="0" w:firstLineChars="0"/>
              <w:jc w:val="center"/>
              <w:rPr>
                <w:color w:val="000000"/>
                <w:kern w:val="0"/>
                <w:szCs w:val="21"/>
              </w:rPr>
            </w:pPr>
            <w:r>
              <w:rPr>
                <w:color w:val="000000"/>
                <w:kern w:val="0"/>
                <w:szCs w:val="21"/>
              </w:rPr>
              <w:t xml:space="preserve">0.36 </w:t>
            </w:r>
          </w:p>
        </w:tc>
        <w:tc>
          <w:tcPr>
            <w:tcW w:w="451" w:type="pct"/>
            <w:tcBorders>
              <w:top w:val="nil"/>
              <w:left w:val="nil"/>
              <w:bottom w:val="single" w:color="auto" w:sz="4" w:space="0"/>
              <w:right w:val="single" w:color="auto" w:sz="4" w:space="0"/>
            </w:tcBorders>
            <w:shd w:val="clear" w:color="auto" w:fill="auto"/>
            <w:noWrap/>
            <w:vAlign w:val="center"/>
          </w:tcPr>
          <w:p w14:paraId="38F041CB">
            <w:pPr>
              <w:widowControl/>
              <w:spacing w:line="240" w:lineRule="auto"/>
              <w:ind w:firstLine="0" w:firstLineChars="0"/>
              <w:jc w:val="center"/>
              <w:rPr>
                <w:color w:val="000000"/>
                <w:kern w:val="0"/>
                <w:szCs w:val="21"/>
              </w:rPr>
            </w:pPr>
            <w:r>
              <w:rPr>
                <w:color w:val="000000"/>
                <w:kern w:val="0"/>
                <w:szCs w:val="21"/>
              </w:rPr>
              <w:t xml:space="preserve">0.34 </w:t>
            </w:r>
          </w:p>
        </w:tc>
        <w:tc>
          <w:tcPr>
            <w:tcW w:w="451" w:type="pct"/>
            <w:tcBorders>
              <w:top w:val="nil"/>
              <w:left w:val="nil"/>
              <w:bottom w:val="single" w:color="auto" w:sz="4" w:space="0"/>
              <w:right w:val="single" w:color="auto" w:sz="4" w:space="0"/>
            </w:tcBorders>
            <w:shd w:val="clear" w:color="auto" w:fill="auto"/>
            <w:noWrap/>
            <w:vAlign w:val="center"/>
          </w:tcPr>
          <w:p w14:paraId="7418EDF9">
            <w:pPr>
              <w:widowControl/>
              <w:spacing w:line="240" w:lineRule="auto"/>
              <w:ind w:firstLine="0" w:firstLineChars="0"/>
              <w:jc w:val="center"/>
              <w:rPr>
                <w:color w:val="000000"/>
                <w:kern w:val="0"/>
                <w:szCs w:val="21"/>
              </w:rPr>
            </w:pPr>
            <w:r>
              <w:rPr>
                <w:color w:val="000000"/>
                <w:kern w:val="0"/>
                <w:szCs w:val="21"/>
              </w:rPr>
              <w:t xml:space="preserve">0.33 </w:t>
            </w:r>
          </w:p>
        </w:tc>
        <w:tc>
          <w:tcPr>
            <w:tcW w:w="451" w:type="pct"/>
            <w:tcBorders>
              <w:top w:val="nil"/>
              <w:left w:val="nil"/>
              <w:bottom w:val="single" w:color="auto" w:sz="4" w:space="0"/>
              <w:right w:val="single" w:color="auto" w:sz="4" w:space="0"/>
            </w:tcBorders>
            <w:shd w:val="clear" w:color="auto" w:fill="auto"/>
            <w:noWrap/>
            <w:vAlign w:val="center"/>
          </w:tcPr>
          <w:p w14:paraId="7B6E5281">
            <w:pPr>
              <w:widowControl/>
              <w:spacing w:line="240" w:lineRule="auto"/>
              <w:ind w:firstLine="0" w:firstLineChars="0"/>
              <w:jc w:val="center"/>
              <w:rPr>
                <w:color w:val="000000"/>
                <w:kern w:val="0"/>
                <w:szCs w:val="21"/>
              </w:rPr>
            </w:pPr>
            <w:r>
              <w:rPr>
                <w:color w:val="000000"/>
                <w:kern w:val="0"/>
                <w:szCs w:val="21"/>
              </w:rPr>
              <w:t xml:space="preserve">0.34 </w:t>
            </w:r>
          </w:p>
        </w:tc>
      </w:tr>
      <w:tr w14:paraId="29E43A3F">
        <w:tblPrEx>
          <w:tblCellMar>
            <w:top w:w="0" w:type="dxa"/>
            <w:left w:w="108" w:type="dxa"/>
            <w:bottom w:w="0" w:type="dxa"/>
            <w:right w:w="108" w:type="dxa"/>
          </w:tblCellMar>
        </w:tblPrEx>
        <w:trPr>
          <w:trHeight w:val="371" w:hRule="atLeast"/>
        </w:trPr>
        <w:tc>
          <w:tcPr>
            <w:tcW w:w="782" w:type="pct"/>
            <w:vMerge w:val="restart"/>
            <w:tcBorders>
              <w:top w:val="single" w:color="auto" w:sz="4" w:space="0"/>
              <w:left w:val="single" w:color="auto" w:sz="4" w:space="0"/>
              <w:right w:val="single" w:color="auto" w:sz="4" w:space="0"/>
            </w:tcBorders>
            <w:shd w:val="clear" w:color="auto" w:fill="auto"/>
            <w:vAlign w:val="center"/>
          </w:tcPr>
          <w:p w14:paraId="4AA6372B">
            <w:pPr>
              <w:widowControl/>
              <w:spacing w:line="240" w:lineRule="auto"/>
              <w:ind w:firstLine="0" w:firstLineChars="0"/>
              <w:jc w:val="center"/>
              <w:rPr>
                <w:color w:val="000000"/>
                <w:kern w:val="0"/>
                <w:szCs w:val="21"/>
              </w:rPr>
            </w:pPr>
            <w:r>
              <w:rPr>
                <w:rFonts w:hint="eastAsia"/>
                <w:color w:val="000000"/>
                <w:kern w:val="0"/>
                <w:szCs w:val="21"/>
              </w:rPr>
              <w:t>SJY</w:t>
            </w:r>
          </w:p>
        </w:tc>
        <w:tc>
          <w:tcPr>
            <w:tcW w:w="609" w:type="pct"/>
            <w:tcBorders>
              <w:top w:val="nil"/>
              <w:left w:val="nil"/>
              <w:bottom w:val="single" w:color="auto" w:sz="4" w:space="0"/>
              <w:right w:val="single" w:color="auto" w:sz="4" w:space="0"/>
            </w:tcBorders>
            <w:shd w:val="clear" w:color="auto" w:fill="auto"/>
            <w:noWrap/>
            <w:vAlign w:val="center"/>
          </w:tcPr>
          <w:p w14:paraId="659F38E5">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nil"/>
              <w:left w:val="nil"/>
              <w:bottom w:val="single" w:color="auto" w:sz="4" w:space="0"/>
              <w:right w:val="single" w:color="auto" w:sz="4" w:space="0"/>
            </w:tcBorders>
            <w:shd w:val="clear" w:color="auto" w:fill="auto"/>
            <w:noWrap/>
            <w:vAlign w:val="center"/>
          </w:tcPr>
          <w:p w14:paraId="2856A5F3">
            <w:pPr>
              <w:widowControl/>
              <w:spacing w:line="240" w:lineRule="auto"/>
              <w:ind w:firstLine="0" w:firstLineChars="0"/>
              <w:jc w:val="center"/>
              <w:rPr>
                <w:color w:val="000000"/>
                <w:kern w:val="0"/>
                <w:szCs w:val="21"/>
              </w:rPr>
            </w:pPr>
            <w:r>
              <w:rPr>
                <w:color w:val="000000"/>
                <w:kern w:val="0"/>
                <w:szCs w:val="21"/>
              </w:rPr>
              <w:t xml:space="preserve">0.82 </w:t>
            </w:r>
          </w:p>
        </w:tc>
        <w:tc>
          <w:tcPr>
            <w:tcW w:w="451" w:type="pct"/>
            <w:tcBorders>
              <w:top w:val="nil"/>
              <w:left w:val="nil"/>
              <w:bottom w:val="single" w:color="auto" w:sz="4" w:space="0"/>
              <w:right w:val="single" w:color="auto" w:sz="4" w:space="0"/>
            </w:tcBorders>
            <w:shd w:val="clear" w:color="auto" w:fill="auto"/>
            <w:noWrap/>
            <w:vAlign w:val="center"/>
          </w:tcPr>
          <w:p w14:paraId="1F291F51">
            <w:pPr>
              <w:widowControl/>
              <w:spacing w:line="240" w:lineRule="auto"/>
              <w:ind w:firstLine="0" w:firstLineChars="0"/>
              <w:jc w:val="center"/>
              <w:rPr>
                <w:color w:val="000000"/>
                <w:kern w:val="0"/>
                <w:szCs w:val="21"/>
              </w:rPr>
            </w:pPr>
            <w:r>
              <w:rPr>
                <w:color w:val="000000"/>
                <w:kern w:val="0"/>
                <w:szCs w:val="21"/>
              </w:rPr>
              <w:t xml:space="preserve">0.84 </w:t>
            </w:r>
          </w:p>
        </w:tc>
        <w:tc>
          <w:tcPr>
            <w:tcW w:w="451" w:type="pct"/>
            <w:tcBorders>
              <w:top w:val="nil"/>
              <w:left w:val="nil"/>
              <w:bottom w:val="single" w:color="auto" w:sz="4" w:space="0"/>
              <w:right w:val="single" w:color="auto" w:sz="4" w:space="0"/>
            </w:tcBorders>
            <w:shd w:val="clear" w:color="auto" w:fill="auto"/>
            <w:noWrap/>
            <w:vAlign w:val="center"/>
          </w:tcPr>
          <w:p w14:paraId="07A31735">
            <w:pPr>
              <w:widowControl/>
              <w:spacing w:line="240" w:lineRule="auto"/>
              <w:ind w:firstLine="0" w:firstLineChars="0"/>
              <w:jc w:val="center"/>
              <w:rPr>
                <w:color w:val="000000"/>
                <w:kern w:val="0"/>
                <w:szCs w:val="21"/>
              </w:rPr>
            </w:pPr>
            <w:r>
              <w:rPr>
                <w:color w:val="000000"/>
                <w:kern w:val="0"/>
                <w:szCs w:val="21"/>
              </w:rPr>
              <w:t xml:space="preserve">0.83 </w:t>
            </w:r>
          </w:p>
        </w:tc>
        <w:tc>
          <w:tcPr>
            <w:tcW w:w="451" w:type="pct"/>
            <w:tcBorders>
              <w:top w:val="nil"/>
              <w:left w:val="nil"/>
              <w:bottom w:val="single" w:color="auto" w:sz="4" w:space="0"/>
              <w:right w:val="single" w:color="auto" w:sz="4" w:space="0"/>
            </w:tcBorders>
            <w:shd w:val="clear" w:color="auto" w:fill="auto"/>
            <w:noWrap/>
            <w:vAlign w:val="center"/>
          </w:tcPr>
          <w:p w14:paraId="16BE0940">
            <w:pPr>
              <w:widowControl/>
              <w:spacing w:line="240" w:lineRule="auto"/>
              <w:ind w:firstLine="0" w:firstLineChars="0"/>
              <w:jc w:val="center"/>
              <w:rPr>
                <w:color w:val="000000"/>
                <w:kern w:val="0"/>
                <w:szCs w:val="21"/>
              </w:rPr>
            </w:pPr>
            <w:r>
              <w:rPr>
                <w:color w:val="000000"/>
                <w:kern w:val="0"/>
                <w:szCs w:val="21"/>
              </w:rPr>
              <w:t xml:space="preserve">0.82 </w:t>
            </w:r>
          </w:p>
        </w:tc>
        <w:tc>
          <w:tcPr>
            <w:tcW w:w="451" w:type="pct"/>
            <w:tcBorders>
              <w:top w:val="nil"/>
              <w:left w:val="nil"/>
              <w:bottom w:val="single" w:color="auto" w:sz="4" w:space="0"/>
              <w:right w:val="single" w:color="auto" w:sz="4" w:space="0"/>
            </w:tcBorders>
            <w:shd w:val="clear" w:color="auto" w:fill="auto"/>
            <w:noWrap/>
            <w:vAlign w:val="center"/>
          </w:tcPr>
          <w:p w14:paraId="13758A2F">
            <w:pPr>
              <w:widowControl/>
              <w:spacing w:line="240" w:lineRule="auto"/>
              <w:ind w:firstLine="0" w:firstLineChars="0"/>
              <w:jc w:val="center"/>
              <w:rPr>
                <w:color w:val="000000"/>
                <w:kern w:val="0"/>
                <w:szCs w:val="21"/>
              </w:rPr>
            </w:pPr>
            <w:r>
              <w:rPr>
                <w:color w:val="000000"/>
                <w:kern w:val="0"/>
                <w:szCs w:val="21"/>
              </w:rPr>
              <w:t xml:space="preserve">0.81 </w:t>
            </w:r>
          </w:p>
        </w:tc>
        <w:tc>
          <w:tcPr>
            <w:tcW w:w="451" w:type="pct"/>
            <w:tcBorders>
              <w:top w:val="nil"/>
              <w:left w:val="nil"/>
              <w:bottom w:val="single" w:color="auto" w:sz="4" w:space="0"/>
              <w:right w:val="single" w:color="auto" w:sz="4" w:space="0"/>
            </w:tcBorders>
            <w:shd w:val="clear" w:color="auto" w:fill="auto"/>
            <w:noWrap/>
            <w:vAlign w:val="center"/>
          </w:tcPr>
          <w:p w14:paraId="1F42EDD1">
            <w:pPr>
              <w:widowControl/>
              <w:spacing w:line="240" w:lineRule="auto"/>
              <w:ind w:firstLine="0" w:firstLineChars="0"/>
              <w:jc w:val="center"/>
              <w:rPr>
                <w:color w:val="000000"/>
                <w:kern w:val="0"/>
                <w:szCs w:val="21"/>
              </w:rPr>
            </w:pPr>
            <w:r>
              <w:rPr>
                <w:color w:val="000000"/>
                <w:kern w:val="0"/>
                <w:szCs w:val="21"/>
              </w:rPr>
              <w:t xml:space="preserve">0.89 </w:t>
            </w:r>
          </w:p>
        </w:tc>
        <w:tc>
          <w:tcPr>
            <w:tcW w:w="451" w:type="pct"/>
            <w:tcBorders>
              <w:top w:val="nil"/>
              <w:left w:val="nil"/>
              <w:bottom w:val="single" w:color="auto" w:sz="4" w:space="0"/>
              <w:right w:val="single" w:color="auto" w:sz="4" w:space="0"/>
            </w:tcBorders>
            <w:shd w:val="clear" w:color="auto" w:fill="auto"/>
            <w:noWrap/>
            <w:vAlign w:val="center"/>
          </w:tcPr>
          <w:p w14:paraId="65AA1C00">
            <w:pPr>
              <w:widowControl/>
              <w:spacing w:line="240" w:lineRule="auto"/>
              <w:ind w:firstLine="0" w:firstLineChars="0"/>
              <w:jc w:val="center"/>
              <w:rPr>
                <w:color w:val="000000"/>
                <w:kern w:val="0"/>
                <w:szCs w:val="21"/>
              </w:rPr>
            </w:pPr>
            <w:r>
              <w:rPr>
                <w:color w:val="000000"/>
                <w:kern w:val="0"/>
                <w:szCs w:val="21"/>
              </w:rPr>
              <w:t xml:space="preserve">0.77 </w:t>
            </w:r>
          </w:p>
        </w:tc>
        <w:tc>
          <w:tcPr>
            <w:tcW w:w="451" w:type="pct"/>
            <w:tcBorders>
              <w:top w:val="nil"/>
              <w:left w:val="nil"/>
              <w:bottom w:val="single" w:color="auto" w:sz="4" w:space="0"/>
              <w:right w:val="single" w:color="auto" w:sz="4" w:space="0"/>
            </w:tcBorders>
            <w:shd w:val="clear" w:color="auto" w:fill="auto"/>
            <w:noWrap/>
            <w:vAlign w:val="center"/>
          </w:tcPr>
          <w:p w14:paraId="4A012B3A">
            <w:pPr>
              <w:widowControl/>
              <w:spacing w:line="240" w:lineRule="auto"/>
              <w:ind w:firstLine="0" w:firstLineChars="0"/>
              <w:jc w:val="center"/>
              <w:rPr>
                <w:color w:val="000000"/>
                <w:kern w:val="0"/>
                <w:szCs w:val="21"/>
              </w:rPr>
            </w:pPr>
            <w:r>
              <w:rPr>
                <w:color w:val="000000"/>
                <w:kern w:val="0"/>
                <w:szCs w:val="21"/>
              </w:rPr>
              <w:t xml:space="preserve">0.81 </w:t>
            </w:r>
          </w:p>
        </w:tc>
      </w:tr>
      <w:tr w14:paraId="413E4B37">
        <w:tblPrEx>
          <w:tblCellMar>
            <w:top w:w="0" w:type="dxa"/>
            <w:left w:w="108" w:type="dxa"/>
            <w:bottom w:w="0" w:type="dxa"/>
            <w:right w:w="108" w:type="dxa"/>
          </w:tblCellMar>
        </w:tblPrEx>
        <w:trPr>
          <w:trHeight w:val="371" w:hRule="atLeast"/>
        </w:trPr>
        <w:tc>
          <w:tcPr>
            <w:tcW w:w="782" w:type="pct"/>
            <w:vMerge w:val="continue"/>
            <w:tcBorders>
              <w:left w:val="single" w:color="auto" w:sz="4" w:space="0"/>
              <w:right w:val="single" w:color="auto" w:sz="4" w:space="0"/>
            </w:tcBorders>
            <w:shd w:val="clear" w:color="auto" w:fill="auto"/>
            <w:vAlign w:val="center"/>
          </w:tcPr>
          <w:p w14:paraId="339B4520">
            <w:pPr>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66B7A5FA">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2E67615B">
            <w:pPr>
              <w:widowControl/>
              <w:spacing w:line="240" w:lineRule="auto"/>
              <w:ind w:firstLine="0" w:firstLineChars="0"/>
              <w:jc w:val="center"/>
              <w:rPr>
                <w:color w:val="000000"/>
                <w:kern w:val="0"/>
                <w:szCs w:val="21"/>
              </w:rPr>
            </w:pPr>
            <w:r>
              <w:rPr>
                <w:color w:val="000000"/>
                <w:kern w:val="0"/>
                <w:szCs w:val="21"/>
              </w:rPr>
              <w:t xml:space="preserve">0.40 </w:t>
            </w:r>
          </w:p>
        </w:tc>
        <w:tc>
          <w:tcPr>
            <w:tcW w:w="451" w:type="pct"/>
            <w:tcBorders>
              <w:top w:val="nil"/>
              <w:left w:val="nil"/>
              <w:bottom w:val="single" w:color="auto" w:sz="4" w:space="0"/>
              <w:right w:val="single" w:color="auto" w:sz="4" w:space="0"/>
            </w:tcBorders>
            <w:shd w:val="clear" w:color="auto" w:fill="auto"/>
            <w:noWrap/>
            <w:vAlign w:val="center"/>
          </w:tcPr>
          <w:p w14:paraId="4F0EAB5C">
            <w:pPr>
              <w:widowControl/>
              <w:spacing w:line="240" w:lineRule="auto"/>
              <w:ind w:firstLine="0" w:firstLineChars="0"/>
              <w:jc w:val="center"/>
              <w:rPr>
                <w:color w:val="000000"/>
                <w:kern w:val="0"/>
                <w:szCs w:val="21"/>
              </w:rPr>
            </w:pPr>
            <w:r>
              <w:rPr>
                <w:color w:val="000000"/>
                <w:kern w:val="0"/>
                <w:szCs w:val="21"/>
              </w:rPr>
              <w:t xml:space="preserve">0.38 </w:t>
            </w:r>
          </w:p>
        </w:tc>
        <w:tc>
          <w:tcPr>
            <w:tcW w:w="451" w:type="pct"/>
            <w:tcBorders>
              <w:top w:val="nil"/>
              <w:left w:val="nil"/>
              <w:bottom w:val="single" w:color="auto" w:sz="4" w:space="0"/>
              <w:right w:val="single" w:color="auto" w:sz="4" w:space="0"/>
            </w:tcBorders>
            <w:shd w:val="clear" w:color="auto" w:fill="auto"/>
            <w:noWrap/>
            <w:vAlign w:val="center"/>
          </w:tcPr>
          <w:p w14:paraId="00D0D752">
            <w:pPr>
              <w:widowControl/>
              <w:spacing w:line="240" w:lineRule="auto"/>
              <w:ind w:firstLine="0" w:firstLineChars="0"/>
              <w:jc w:val="center"/>
              <w:rPr>
                <w:color w:val="000000"/>
                <w:kern w:val="0"/>
                <w:szCs w:val="21"/>
              </w:rPr>
            </w:pPr>
            <w:r>
              <w:rPr>
                <w:color w:val="000000"/>
                <w:kern w:val="0"/>
                <w:szCs w:val="21"/>
              </w:rPr>
              <w:t xml:space="preserve">0.40 </w:t>
            </w:r>
          </w:p>
        </w:tc>
        <w:tc>
          <w:tcPr>
            <w:tcW w:w="451" w:type="pct"/>
            <w:tcBorders>
              <w:top w:val="nil"/>
              <w:left w:val="nil"/>
              <w:bottom w:val="single" w:color="auto" w:sz="4" w:space="0"/>
              <w:right w:val="single" w:color="auto" w:sz="4" w:space="0"/>
            </w:tcBorders>
            <w:shd w:val="clear" w:color="auto" w:fill="auto"/>
            <w:noWrap/>
            <w:vAlign w:val="center"/>
          </w:tcPr>
          <w:p w14:paraId="66E111AB">
            <w:pPr>
              <w:widowControl/>
              <w:spacing w:line="240" w:lineRule="auto"/>
              <w:ind w:firstLine="0" w:firstLineChars="0"/>
              <w:jc w:val="center"/>
              <w:rPr>
                <w:color w:val="000000"/>
                <w:kern w:val="0"/>
                <w:szCs w:val="21"/>
              </w:rPr>
            </w:pPr>
            <w:r>
              <w:rPr>
                <w:color w:val="000000"/>
                <w:kern w:val="0"/>
                <w:szCs w:val="21"/>
              </w:rPr>
              <w:t xml:space="preserve">0.40 </w:t>
            </w:r>
          </w:p>
        </w:tc>
        <w:tc>
          <w:tcPr>
            <w:tcW w:w="451" w:type="pct"/>
            <w:tcBorders>
              <w:top w:val="nil"/>
              <w:left w:val="nil"/>
              <w:bottom w:val="single" w:color="auto" w:sz="4" w:space="0"/>
              <w:right w:val="single" w:color="auto" w:sz="4" w:space="0"/>
            </w:tcBorders>
            <w:shd w:val="clear" w:color="auto" w:fill="auto"/>
            <w:noWrap/>
            <w:vAlign w:val="center"/>
          </w:tcPr>
          <w:p w14:paraId="636FC5C1">
            <w:pPr>
              <w:widowControl/>
              <w:spacing w:line="240" w:lineRule="auto"/>
              <w:ind w:firstLine="0" w:firstLineChars="0"/>
              <w:jc w:val="center"/>
              <w:rPr>
                <w:color w:val="000000"/>
                <w:kern w:val="0"/>
                <w:szCs w:val="21"/>
              </w:rPr>
            </w:pPr>
            <w:r>
              <w:rPr>
                <w:color w:val="000000"/>
                <w:kern w:val="0"/>
                <w:szCs w:val="21"/>
              </w:rPr>
              <w:t xml:space="preserve">0.41 </w:t>
            </w:r>
          </w:p>
        </w:tc>
        <w:tc>
          <w:tcPr>
            <w:tcW w:w="451" w:type="pct"/>
            <w:tcBorders>
              <w:top w:val="nil"/>
              <w:left w:val="nil"/>
              <w:bottom w:val="single" w:color="auto" w:sz="4" w:space="0"/>
              <w:right w:val="single" w:color="auto" w:sz="4" w:space="0"/>
            </w:tcBorders>
            <w:shd w:val="clear" w:color="auto" w:fill="auto"/>
            <w:noWrap/>
            <w:vAlign w:val="center"/>
          </w:tcPr>
          <w:p w14:paraId="52027359">
            <w:pPr>
              <w:widowControl/>
              <w:spacing w:line="240" w:lineRule="auto"/>
              <w:ind w:firstLine="0" w:firstLineChars="0"/>
              <w:jc w:val="center"/>
              <w:rPr>
                <w:color w:val="000000"/>
                <w:kern w:val="0"/>
                <w:szCs w:val="21"/>
              </w:rPr>
            </w:pPr>
            <w:r>
              <w:rPr>
                <w:color w:val="000000"/>
                <w:kern w:val="0"/>
                <w:szCs w:val="21"/>
              </w:rPr>
              <w:t xml:space="preserve">0.36 </w:t>
            </w:r>
          </w:p>
        </w:tc>
        <w:tc>
          <w:tcPr>
            <w:tcW w:w="451" w:type="pct"/>
            <w:tcBorders>
              <w:top w:val="nil"/>
              <w:left w:val="nil"/>
              <w:bottom w:val="single" w:color="auto" w:sz="4" w:space="0"/>
              <w:right w:val="single" w:color="auto" w:sz="4" w:space="0"/>
            </w:tcBorders>
            <w:shd w:val="clear" w:color="auto" w:fill="auto"/>
            <w:noWrap/>
            <w:vAlign w:val="center"/>
          </w:tcPr>
          <w:p w14:paraId="43100F4C">
            <w:pPr>
              <w:widowControl/>
              <w:spacing w:line="240" w:lineRule="auto"/>
              <w:ind w:firstLine="0" w:firstLineChars="0"/>
              <w:jc w:val="center"/>
              <w:rPr>
                <w:color w:val="000000"/>
                <w:kern w:val="0"/>
                <w:szCs w:val="21"/>
              </w:rPr>
            </w:pPr>
            <w:r>
              <w:rPr>
                <w:color w:val="000000"/>
                <w:kern w:val="0"/>
                <w:szCs w:val="21"/>
              </w:rPr>
              <w:t xml:space="preserve">0.44 </w:t>
            </w:r>
          </w:p>
        </w:tc>
        <w:tc>
          <w:tcPr>
            <w:tcW w:w="451" w:type="pct"/>
            <w:tcBorders>
              <w:top w:val="nil"/>
              <w:left w:val="nil"/>
              <w:bottom w:val="single" w:color="auto" w:sz="4" w:space="0"/>
              <w:right w:val="single" w:color="auto" w:sz="4" w:space="0"/>
            </w:tcBorders>
            <w:shd w:val="clear" w:color="auto" w:fill="auto"/>
            <w:noWrap/>
            <w:vAlign w:val="center"/>
          </w:tcPr>
          <w:p w14:paraId="5A27BB03">
            <w:pPr>
              <w:widowControl/>
              <w:spacing w:line="240" w:lineRule="auto"/>
              <w:ind w:firstLine="0" w:firstLineChars="0"/>
              <w:jc w:val="center"/>
              <w:rPr>
                <w:color w:val="000000"/>
                <w:kern w:val="0"/>
                <w:szCs w:val="21"/>
              </w:rPr>
            </w:pPr>
            <w:r>
              <w:rPr>
                <w:color w:val="000000"/>
                <w:kern w:val="0"/>
                <w:szCs w:val="21"/>
              </w:rPr>
              <w:t xml:space="preserve">0.39 </w:t>
            </w:r>
          </w:p>
        </w:tc>
      </w:tr>
      <w:tr w14:paraId="3F9E39B1">
        <w:tblPrEx>
          <w:tblCellMar>
            <w:top w:w="0" w:type="dxa"/>
            <w:left w:w="108" w:type="dxa"/>
            <w:bottom w:w="0" w:type="dxa"/>
            <w:right w:w="108" w:type="dxa"/>
          </w:tblCellMar>
        </w:tblPrEx>
        <w:trPr>
          <w:trHeight w:val="371" w:hRule="atLeast"/>
        </w:trPr>
        <w:tc>
          <w:tcPr>
            <w:tcW w:w="782" w:type="pct"/>
            <w:vMerge w:val="continue"/>
            <w:tcBorders>
              <w:left w:val="single" w:color="auto" w:sz="4" w:space="0"/>
              <w:right w:val="single" w:color="auto" w:sz="4" w:space="0"/>
            </w:tcBorders>
            <w:shd w:val="clear" w:color="auto" w:fill="auto"/>
            <w:vAlign w:val="center"/>
          </w:tcPr>
          <w:p w14:paraId="0DD850C1">
            <w:pPr>
              <w:widowControl/>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3E9EB270">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nil"/>
              <w:left w:val="nil"/>
              <w:bottom w:val="single" w:color="auto" w:sz="4" w:space="0"/>
              <w:right w:val="single" w:color="auto" w:sz="4" w:space="0"/>
            </w:tcBorders>
            <w:shd w:val="clear" w:color="auto" w:fill="auto"/>
            <w:noWrap/>
            <w:vAlign w:val="center"/>
          </w:tcPr>
          <w:p w14:paraId="6930409C">
            <w:pPr>
              <w:widowControl/>
              <w:spacing w:line="240" w:lineRule="auto"/>
              <w:ind w:firstLine="0" w:firstLineChars="0"/>
              <w:jc w:val="center"/>
              <w:rPr>
                <w:color w:val="000000"/>
                <w:kern w:val="0"/>
                <w:szCs w:val="21"/>
              </w:rPr>
            </w:pPr>
            <w:r>
              <w:rPr>
                <w:color w:val="000000"/>
                <w:kern w:val="0"/>
                <w:szCs w:val="21"/>
              </w:rPr>
              <w:t xml:space="preserve">0.79 </w:t>
            </w:r>
          </w:p>
        </w:tc>
        <w:tc>
          <w:tcPr>
            <w:tcW w:w="451" w:type="pct"/>
            <w:tcBorders>
              <w:top w:val="nil"/>
              <w:left w:val="nil"/>
              <w:bottom w:val="single" w:color="auto" w:sz="4" w:space="0"/>
              <w:right w:val="single" w:color="auto" w:sz="4" w:space="0"/>
            </w:tcBorders>
            <w:shd w:val="clear" w:color="auto" w:fill="auto"/>
            <w:noWrap/>
            <w:vAlign w:val="center"/>
          </w:tcPr>
          <w:p w14:paraId="7B2B9D46">
            <w:pPr>
              <w:widowControl/>
              <w:spacing w:line="240" w:lineRule="auto"/>
              <w:ind w:firstLine="0" w:firstLineChars="0"/>
              <w:jc w:val="center"/>
              <w:rPr>
                <w:color w:val="000000"/>
                <w:kern w:val="0"/>
                <w:szCs w:val="21"/>
              </w:rPr>
            </w:pPr>
            <w:r>
              <w:rPr>
                <w:color w:val="000000"/>
                <w:kern w:val="0"/>
                <w:szCs w:val="21"/>
              </w:rPr>
              <w:t xml:space="preserve">0.85 </w:t>
            </w:r>
          </w:p>
        </w:tc>
        <w:tc>
          <w:tcPr>
            <w:tcW w:w="451" w:type="pct"/>
            <w:tcBorders>
              <w:top w:val="nil"/>
              <w:left w:val="nil"/>
              <w:bottom w:val="single" w:color="auto" w:sz="4" w:space="0"/>
              <w:right w:val="single" w:color="auto" w:sz="4" w:space="0"/>
            </w:tcBorders>
            <w:shd w:val="clear" w:color="auto" w:fill="auto"/>
            <w:noWrap/>
            <w:vAlign w:val="center"/>
          </w:tcPr>
          <w:p w14:paraId="533D8941">
            <w:pPr>
              <w:widowControl/>
              <w:spacing w:line="240" w:lineRule="auto"/>
              <w:ind w:firstLine="0" w:firstLineChars="0"/>
              <w:jc w:val="center"/>
              <w:rPr>
                <w:color w:val="000000"/>
                <w:kern w:val="0"/>
                <w:szCs w:val="21"/>
              </w:rPr>
            </w:pPr>
            <w:r>
              <w:rPr>
                <w:color w:val="000000"/>
                <w:kern w:val="0"/>
                <w:szCs w:val="21"/>
              </w:rPr>
              <w:t xml:space="preserve">0.83 </w:t>
            </w:r>
          </w:p>
        </w:tc>
        <w:tc>
          <w:tcPr>
            <w:tcW w:w="451" w:type="pct"/>
            <w:tcBorders>
              <w:top w:val="nil"/>
              <w:left w:val="nil"/>
              <w:bottom w:val="single" w:color="auto" w:sz="4" w:space="0"/>
              <w:right w:val="single" w:color="auto" w:sz="4" w:space="0"/>
            </w:tcBorders>
            <w:shd w:val="clear" w:color="auto" w:fill="auto"/>
            <w:noWrap/>
            <w:vAlign w:val="center"/>
          </w:tcPr>
          <w:p w14:paraId="7AC76225">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4E0D15FC">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671137CA">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1A963905">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1016393B">
            <w:pPr>
              <w:widowControl/>
              <w:spacing w:line="240" w:lineRule="auto"/>
              <w:ind w:firstLine="0" w:firstLineChars="0"/>
              <w:jc w:val="center"/>
              <w:rPr>
                <w:color w:val="000000"/>
                <w:kern w:val="0"/>
                <w:szCs w:val="21"/>
              </w:rPr>
            </w:pPr>
            <w:r>
              <w:rPr>
                <w:color w:val="000000"/>
                <w:kern w:val="0"/>
                <w:szCs w:val="21"/>
              </w:rPr>
              <w:t>/</w:t>
            </w:r>
          </w:p>
        </w:tc>
      </w:tr>
      <w:tr w14:paraId="3991FDE6">
        <w:tblPrEx>
          <w:tblCellMar>
            <w:top w:w="0" w:type="dxa"/>
            <w:left w:w="108" w:type="dxa"/>
            <w:bottom w:w="0" w:type="dxa"/>
            <w:right w:w="108" w:type="dxa"/>
          </w:tblCellMar>
        </w:tblPrEx>
        <w:trPr>
          <w:trHeight w:val="371" w:hRule="atLeast"/>
        </w:trPr>
        <w:tc>
          <w:tcPr>
            <w:tcW w:w="782" w:type="pct"/>
            <w:vMerge w:val="continue"/>
            <w:tcBorders>
              <w:left w:val="single" w:color="auto" w:sz="4" w:space="0"/>
              <w:bottom w:val="single" w:color="auto" w:sz="4" w:space="0"/>
              <w:right w:val="single" w:color="auto" w:sz="4" w:space="0"/>
            </w:tcBorders>
            <w:shd w:val="clear" w:color="auto" w:fill="auto"/>
            <w:vAlign w:val="center"/>
          </w:tcPr>
          <w:p w14:paraId="34180A0D">
            <w:pPr>
              <w:widowControl/>
              <w:spacing w:line="240" w:lineRule="auto"/>
              <w:ind w:firstLine="0" w:firstLineChars="0"/>
              <w:jc w:val="left"/>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19466AE5">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3D7F8252">
            <w:pPr>
              <w:widowControl/>
              <w:spacing w:line="240" w:lineRule="auto"/>
              <w:ind w:firstLine="0" w:firstLineChars="0"/>
              <w:jc w:val="center"/>
              <w:rPr>
                <w:color w:val="000000"/>
                <w:kern w:val="0"/>
                <w:szCs w:val="21"/>
              </w:rPr>
            </w:pPr>
            <w:r>
              <w:rPr>
                <w:color w:val="000000"/>
                <w:kern w:val="0"/>
                <w:szCs w:val="21"/>
              </w:rPr>
              <w:t xml:space="preserve">0.43 </w:t>
            </w:r>
          </w:p>
        </w:tc>
        <w:tc>
          <w:tcPr>
            <w:tcW w:w="451" w:type="pct"/>
            <w:tcBorders>
              <w:top w:val="nil"/>
              <w:left w:val="nil"/>
              <w:bottom w:val="single" w:color="auto" w:sz="4" w:space="0"/>
              <w:right w:val="single" w:color="auto" w:sz="4" w:space="0"/>
            </w:tcBorders>
            <w:shd w:val="clear" w:color="auto" w:fill="auto"/>
            <w:noWrap/>
            <w:vAlign w:val="center"/>
          </w:tcPr>
          <w:p w14:paraId="5FB7674B">
            <w:pPr>
              <w:widowControl/>
              <w:spacing w:line="240" w:lineRule="auto"/>
              <w:ind w:firstLine="0" w:firstLineChars="0"/>
              <w:jc w:val="center"/>
              <w:rPr>
                <w:color w:val="000000"/>
                <w:kern w:val="0"/>
                <w:szCs w:val="21"/>
              </w:rPr>
            </w:pPr>
            <w:r>
              <w:rPr>
                <w:color w:val="000000"/>
                <w:kern w:val="0"/>
                <w:szCs w:val="21"/>
              </w:rPr>
              <w:t xml:space="preserve">0.38 </w:t>
            </w:r>
          </w:p>
        </w:tc>
        <w:tc>
          <w:tcPr>
            <w:tcW w:w="451" w:type="pct"/>
            <w:tcBorders>
              <w:top w:val="nil"/>
              <w:left w:val="nil"/>
              <w:bottom w:val="single" w:color="auto" w:sz="4" w:space="0"/>
              <w:right w:val="single" w:color="auto" w:sz="4" w:space="0"/>
            </w:tcBorders>
            <w:shd w:val="clear" w:color="auto" w:fill="auto"/>
            <w:noWrap/>
            <w:vAlign w:val="center"/>
          </w:tcPr>
          <w:p w14:paraId="1A028A7B">
            <w:pPr>
              <w:widowControl/>
              <w:spacing w:line="240" w:lineRule="auto"/>
              <w:ind w:firstLine="0" w:firstLineChars="0"/>
              <w:jc w:val="center"/>
              <w:rPr>
                <w:color w:val="000000"/>
                <w:kern w:val="0"/>
                <w:szCs w:val="21"/>
              </w:rPr>
            </w:pPr>
            <w:r>
              <w:rPr>
                <w:color w:val="000000"/>
                <w:kern w:val="0"/>
                <w:szCs w:val="21"/>
              </w:rPr>
              <w:t xml:space="preserve">0.39 </w:t>
            </w:r>
          </w:p>
        </w:tc>
        <w:tc>
          <w:tcPr>
            <w:tcW w:w="451" w:type="pct"/>
            <w:tcBorders>
              <w:top w:val="nil"/>
              <w:left w:val="nil"/>
              <w:bottom w:val="single" w:color="auto" w:sz="4" w:space="0"/>
              <w:right w:val="single" w:color="auto" w:sz="4" w:space="0"/>
            </w:tcBorders>
            <w:shd w:val="clear" w:color="auto" w:fill="auto"/>
            <w:noWrap/>
            <w:vAlign w:val="center"/>
          </w:tcPr>
          <w:p w14:paraId="6E87492D">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570F41E7">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7F600CD0">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22D875DC">
            <w:pPr>
              <w:widowControl/>
              <w:spacing w:line="240" w:lineRule="auto"/>
              <w:ind w:firstLine="0" w:firstLineChars="0"/>
              <w:jc w:val="center"/>
              <w:rPr>
                <w:color w:val="000000"/>
                <w:kern w:val="0"/>
                <w:szCs w:val="21"/>
              </w:rPr>
            </w:pPr>
            <w:r>
              <w:rPr>
                <w:color w:val="000000"/>
                <w:kern w:val="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652E3AC8">
            <w:pPr>
              <w:widowControl/>
              <w:spacing w:line="240" w:lineRule="auto"/>
              <w:ind w:firstLine="0" w:firstLineChars="0"/>
              <w:jc w:val="center"/>
              <w:rPr>
                <w:color w:val="000000"/>
                <w:kern w:val="0"/>
                <w:szCs w:val="21"/>
              </w:rPr>
            </w:pPr>
            <w:r>
              <w:rPr>
                <w:color w:val="000000"/>
                <w:kern w:val="0"/>
                <w:szCs w:val="21"/>
              </w:rPr>
              <w:t>/</w:t>
            </w:r>
          </w:p>
        </w:tc>
      </w:tr>
      <w:tr w14:paraId="7AF3C542">
        <w:tblPrEx>
          <w:tblCellMar>
            <w:top w:w="0" w:type="dxa"/>
            <w:left w:w="108" w:type="dxa"/>
            <w:bottom w:w="0" w:type="dxa"/>
            <w:right w:w="108" w:type="dxa"/>
          </w:tblCellMar>
        </w:tblPrEx>
        <w:trPr>
          <w:trHeight w:val="371" w:hRule="atLeast"/>
        </w:trPr>
        <w:tc>
          <w:tcPr>
            <w:tcW w:w="782" w:type="pct"/>
            <w:vMerge w:val="restart"/>
            <w:tcBorders>
              <w:top w:val="single" w:color="auto" w:sz="4" w:space="0"/>
              <w:left w:val="single" w:color="auto" w:sz="4" w:space="0"/>
              <w:right w:val="single" w:color="auto" w:sz="4" w:space="0"/>
            </w:tcBorders>
            <w:shd w:val="clear" w:color="auto" w:fill="auto"/>
            <w:vAlign w:val="center"/>
          </w:tcPr>
          <w:p w14:paraId="30C621F8">
            <w:pPr>
              <w:widowControl/>
              <w:spacing w:line="240" w:lineRule="auto"/>
              <w:ind w:firstLine="0" w:firstLineChars="0"/>
              <w:jc w:val="center"/>
              <w:rPr>
                <w:color w:val="000000"/>
                <w:kern w:val="0"/>
                <w:szCs w:val="21"/>
              </w:rPr>
            </w:pPr>
            <w:r>
              <w:rPr>
                <w:rFonts w:hint="eastAsia"/>
                <w:color w:val="000000"/>
                <w:kern w:val="0"/>
                <w:szCs w:val="21"/>
              </w:rPr>
              <w:t>SKB</w:t>
            </w:r>
          </w:p>
        </w:tc>
        <w:tc>
          <w:tcPr>
            <w:tcW w:w="609" w:type="pct"/>
            <w:tcBorders>
              <w:top w:val="nil"/>
              <w:left w:val="nil"/>
              <w:bottom w:val="single" w:color="auto" w:sz="4" w:space="0"/>
              <w:right w:val="single" w:color="auto" w:sz="4" w:space="0"/>
            </w:tcBorders>
            <w:shd w:val="clear" w:color="auto" w:fill="auto"/>
            <w:noWrap/>
            <w:vAlign w:val="center"/>
          </w:tcPr>
          <w:p w14:paraId="3C11F086">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nil"/>
              <w:left w:val="nil"/>
              <w:bottom w:val="single" w:color="auto" w:sz="4" w:space="0"/>
              <w:right w:val="single" w:color="auto" w:sz="4" w:space="0"/>
            </w:tcBorders>
            <w:shd w:val="clear" w:color="auto" w:fill="auto"/>
            <w:noWrap/>
            <w:vAlign w:val="center"/>
          </w:tcPr>
          <w:p w14:paraId="17451ED2">
            <w:pPr>
              <w:widowControl/>
              <w:spacing w:line="240" w:lineRule="auto"/>
              <w:ind w:firstLine="0" w:firstLineChars="0"/>
              <w:jc w:val="center"/>
              <w:rPr>
                <w:color w:val="000000"/>
                <w:kern w:val="0"/>
                <w:szCs w:val="21"/>
              </w:rPr>
            </w:pPr>
            <w:r>
              <w:rPr>
                <w:color w:val="000000"/>
                <w:kern w:val="0"/>
                <w:szCs w:val="21"/>
              </w:rPr>
              <w:t xml:space="preserve">0.86 </w:t>
            </w:r>
          </w:p>
        </w:tc>
        <w:tc>
          <w:tcPr>
            <w:tcW w:w="451" w:type="pct"/>
            <w:tcBorders>
              <w:top w:val="nil"/>
              <w:left w:val="nil"/>
              <w:bottom w:val="single" w:color="auto" w:sz="4" w:space="0"/>
              <w:right w:val="single" w:color="auto" w:sz="4" w:space="0"/>
            </w:tcBorders>
            <w:shd w:val="clear" w:color="auto" w:fill="auto"/>
            <w:noWrap/>
            <w:vAlign w:val="center"/>
          </w:tcPr>
          <w:p w14:paraId="51BC2578">
            <w:pPr>
              <w:widowControl/>
              <w:spacing w:line="240" w:lineRule="auto"/>
              <w:ind w:firstLine="0" w:firstLineChars="0"/>
              <w:jc w:val="center"/>
              <w:rPr>
                <w:color w:val="000000"/>
                <w:kern w:val="0"/>
                <w:szCs w:val="21"/>
              </w:rPr>
            </w:pPr>
            <w:r>
              <w:rPr>
                <w:color w:val="000000"/>
                <w:kern w:val="0"/>
                <w:szCs w:val="21"/>
              </w:rPr>
              <w:t xml:space="preserve">0.85 </w:t>
            </w:r>
          </w:p>
        </w:tc>
        <w:tc>
          <w:tcPr>
            <w:tcW w:w="451" w:type="pct"/>
            <w:tcBorders>
              <w:top w:val="nil"/>
              <w:left w:val="nil"/>
              <w:bottom w:val="single" w:color="auto" w:sz="4" w:space="0"/>
              <w:right w:val="single" w:color="auto" w:sz="4" w:space="0"/>
            </w:tcBorders>
            <w:shd w:val="clear" w:color="auto" w:fill="auto"/>
            <w:noWrap/>
            <w:vAlign w:val="center"/>
          </w:tcPr>
          <w:p w14:paraId="39F65BDD">
            <w:pPr>
              <w:widowControl/>
              <w:spacing w:line="240" w:lineRule="auto"/>
              <w:ind w:firstLine="0" w:firstLineChars="0"/>
              <w:jc w:val="center"/>
              <w:rPr>
                <w:color w:val="000000"/>
                <w:kern w:val="0"/>
                <w:szCs w:val="21"/>
              </w:rPr>
            </w:pPr>
            <w:r>
              <w:rPr>
                <w:color w:val="000000"/>
                <w:kern w:val="0"/>
                <w:szCs w:val="21"/>
              </w:rPr>
              <w:t xml:space="preserve">0.83 </w:t>
            </w:r>
          </w:p>
        </w:tc>
        <w:tc>
          <w:tcPr>
            <w:tcW w:w="451" w:type="pct"/>
            <w:tcBorders>
              <w:top w:val="nil"/>
              <w:left w:val="nil"/>
              <w:bottom w:val="single" w:color="auto" w:sz="4" w:space="0"/>
              <w:right w:val="single" w:color="auto" w:sz="4" w:space="0"/>
            </w:tcBorders>
            <w:shd w:val="clear" w:color="auto" w:fill="auto"/>
            <w:noWrap/>
            <w:vAlign w:val="center"/>
          </w:tcPr>
          <w:p w14:paraId="3B2EFD02">
            <w:pPr>
              <w:widowControl/>
              <w:spacing w:line="240" w:lineRule="auto"/>
              <w:ind w:firstLine="0" w:firstLineChars="0"/>
              <w:jc w:val="center"/>
              <w:rPr>
                <w:color w:val="000000"/>
                <w:kern w:val="0"/>
                <w:szCs w:val="21"/>
              </w:rPr>
            </w:pPr>
            <w:r>
              <w:rPr>
                <w:color w:val="000000"/>
                <w:kern w:val="0"/>
                <w:szCs w:val="21"/>
              </w:rPr>
              <w:t xml:space="preserve">0.73 </w:t>
            </w:r>
          </w:p>
        </w:tc>
        <w:tc>
          <w:tcPr>
            <w:tcW w:w="451" w:type="pct"/>
            <w:tcBorders>
              <w:top w:val="nil"/>
              <w:left w:val="nil"/>
              <w:bottom w:val="single" w:color="auto" w:sz="4" w:space="0"/>
              <w:right w:val="single" w:color="auto" w:sz="4" w:space="0"/>
            </w:tcBorders>
            <w:shd w:val="clear" w:color="auto" w:fill="auto"/>
            <w:noWrap/>
            <w:vAlign w:val="center"/>
          </w:tcPr>
          <w:p w14:paraId="14AD19C2">
            <w:pPr>
              <w:widowControl/>
              <w:spacing w:line="240" w:lineRule="auto"/>
              <w:ind w:firstLine="0" w:firstLineChars="0"/>
              <w:jc w:val="center"/>
              <w:rPr>
                <w:color w:val="000000"/>
                <w:kern w:val="0"/>
                <w:szCs w:val="21"/>
              </w:rPr>
            </w:pPr>
            <w:r>
              <w:rPr>
                <w:color w:val="000000"/>
                <w:kern w:val="0"/>
                <w:szCs w:val="21"/>
              </w:rPr>
              <w:t xml:space="preserve">0.67 </w:t>
            </w:r>
          </w:p>
        </w:tc>
        <w:tc>
          <w:tcPr>
            <w:tcW w:w="451" w:type="pct"/>
            <w:tcBorders>
              <w:top w:val="nil"/>
              <w:left w:val="nil"/>
              <w:bottom w:val="single" w:color="auto" w:sz="4" w:space="0"/>
              <w:right w:val="single" w:color="auto" w:sz="4" w:space="0"/>
            </w:tcBorders>
            <w:shd w:val="clear" w:color="auto" w:fill="auto"/>
            <w:noWrap/>
            <w:vAlign w:val="center"/>
          </w:tcPr>
          <w:p w14:paraId="4FC1EDC2">
            <w:pPr>
              <w:widowControl/>
              <w:spacing w:line="240" w:lineRule="auto"/>
              <w:ind w:firstLine="0" w:firstLineChars="0"/>
              <w:jc w:val="center"/>
              <w:rPr>
                <w:color w:val="000000"/>
                <w:kern w:val="0"/>
                <w:szCs w:val="21"/>
              </w:rPr>
            </w:pPr>
            <w:r>
              <w:rPr>
                <w:color w:val="000000"/>
                <w:kern w:val="0"/>
                <w:szCs w:val="21"/>
              </w:rPr>
              <w:t xml:space="preserve">0.69 </w:t>
            </w:r>
          </w:p>
        </w:tc>
        <w:tc>
          <w:tcPr>
            <w:tcW w:w="451" w:type="pct"/>
            <w:tcBorders>
              <w:top w:val="nil"/>
              <w:left w:val="nil"/>
              <w:bottom w:val="single" w:color="auto" w:sz="4" w:space="0"/>
              <w:right w:val="single" w:color="auto" w:sz="4" w:space="0"/>
            </w:tcBorders>
            <w:shd w:val="clear" w:color="auto" w:fill="auto"/>
            <w:noWrap/>
            <w:vAlign w:val="center"/>
          </w:tcPr>
          <w:p w14:paraId="5DCB13DA">
            <w:pPr>
              <w:widowControl/>
              <w:spacing w:line="240" w:lineRule="auto"/>
              <w:ind w:firstLine="0" w:firstLineChars="0"/>
              <w:jc w:val="center"/>
              <w:rPr>
                <w:color w:val="000000"/>
                <w:kern w:val="0"/>
                <w:szCs w:val="21"/>
              </w:rPr>
            </w:pPr>
            <w:r>
              <w:rPr>
                <w:color w:val="000000"/>
                <w:kern w:val="0"/>
                <w:szCs w:val="21"/>
              </w:rPr>
              <w:t xml:space="preserve">0.68 </w:t>
            </w:r>
          </w:p>
        </w:tc>
        <w:tc>
          <w:tcPr>
            <w:tcW w:w="451" w:type="pct"/>
            <w:tcBorders>
              <w:top w:val="nil"/>
              <w:left w:val="nil"/>
              <w:bottom w:val="single" w:color="auto" w:sz="4" w:space="0"/>
              <w:right w:val="single" w:color="auto" w:sz="4" w:space="0"/>
            </w:tcBorders>
            <w:shd w:val="clear" w:color="auto" w:fill="auto"/>
            <w:noWrap/>
            <w:vAlign w:val="center"/>
          </w:tcPr>
          <w:p w14:paraId="52C56D02">
            <w:pPr>
              <w:widowControl/>
              <w:spacing w:line="240" w:lineRule="auto"/>
              <w:ind w:firstLine="0" w:firstLineChars="0"/>
              <w:jc w:val="center"/>
              <w:rPr>
                <w:color w:val="000000"/>
                <w:kern w:val="0"/>
                <w:szCs w:val="21"/>
              </w:rPr>
            </w:pPr>
            <w:r>
              <w:rPr>
                <w:color w:val="000000"/>
                <w:kern w:val="0"/>
                <w:szCs w:val="21"/>
              </w:rPr>
              <w:t xml:space="preserve">0.84 </w:t>
            </w:r>
          </w:p>
        </w:tc>
      </w:tr>
      <w:tr w14:paraId="0AA1D92C">
        <w:tblPrEx>
          <w:tblCellMar>
            <w:top w:w="0" w:type="dxa"/>
            <w:left w:w="108" w:type="dxa"/>
            <w:bottom w:w="0" w:type="dxa"/>
            <w:right w:w="108" w:type="dxa"/>
          </w:tblCellMar>
        </w:tblPrEx>
        <w:trPr>
          <w:trHeight w:val="371" w:hRule="atLeast"/>
        </w:trPr>
        <w:tc>
          <w:tcPr>
            <w:tcW w:w="782" w:type="pct"/>
            <w:vMerge w:val="continue"/>
            <w:tcBorders>
              <w:left w:val="single" w:color="auto" w:sz="4" w:space="0"/>
              <w:right w:val="single" w:color="auto" w:sz="4" w:space="0"/>
            </w:tcBorders>
            <w:shd w:val="clear" w:color="auto" w:fill="auto"/>
            <w:vAlign w:val="center"/>
          </w:tcPr>
          <w:p w14:paraId="74E36584">
            <w:pPr>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52BA7290">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55C9D0A8">
            <w:pPr>
              <w:widowControl/>
              <w:spacing w:line="240" w:lineRule="auto"/>
              <w:ind w:firstLine="0" w:firstLineChars="0"/>
              <w:jc w:val="center"/>
              <w:rPr>
                <w:color w:val="000000"/>
                <w:kern w:val="0"/>
                <w:szCs w:val="21"/>
              </w:rPr>
            </w:pPr>
            <w:r>
              <w:rPr>
                <w:color w:val="000000"/>
                <w:kern w:val="0"/>
                <w:szCs w:val="21"/>
              </w:rPr>
              <w:t xml:space="preserve">0.36 </w:t>
            </w:r>
          </w:p>
        </w:tc>
        <w:tc>
          <w:tcPr>
            <w:tcW w:w="451" w:type="pct"/>
            <w:tcBorders>
              <w:top w:val="nil"/>
              <w:left w:val="nil"/>
              <w:bottom w:val="single" w:color="auto" w:sz="4" w:space="0"/>
              <w:right w:val="single" w:color="auto" w:sz="4" w:space="0"/>
            </w:tcBorders>
            <w:shd w:val="clear" w:color="auto" w:fill="auto"/>
            <w:noWrap/>
            <w:vAlign w:val="center"/>
          </w:tcPr>
          <w:p w14:paraId="3A56AEC6">
            <w:pPr>
              <w:widowControl/>
              <w:spacing w:line="240" w:lineRule="auto"/>
              <w:ind w:firstLine="0" w:firstLineChars="0"/>
              <w:jc w:val="center"/>
              <w:rPr>
                <w:color w:val="000000"/>
                <w:kern w:val="0"/>
                <w:szCs w:val="21"/>
              </w:rPr>
            </w:pPr>
            <w:r>
              <w:rPr>
                <w:color w:val="000000"/>
                <w:kern w:val="0"/>
                <w:szCs w:val="21"/>
              </w:rPr>
              <w:t xml:space="preserve">0.38 </w:t>
            </w:r>
          </w:p>
        </w:tc>
        <w:tc>
          <w:tcPr>
            <w:tcW w:w="451" w:type="pct"/>
            <w:tcBorders>
              <w:top w:val="nil"/>
              <w:left w:val="nil"/>
              <w:bottom w:val="single" w:color="auto" w:sz="4" w:space="0"/>
              <w:right w:val="single" w:color="auto" w:sz="4" w:space="0"/>
            </w:tcBorders>
            <w:shd w:val="clear" w:color="auto" w:fill="auto"/>
            <w:noWrap/>
            <w:vAlign w:val="center"/>
          </w:tcPr>
          <w:p w14:paraId="2A7BB16E">
            <w:pPr>
              <w:widowControl/>
              <w:spacing w:line="240" w:lineRule="auto"/>
              <w:ind w:firstLine="0" w:firstLineChars="0"/>
              <w:jc w:val="center"/>
              <w:rPr>
                <w:color w:val="000000"/>
                <w:kern w:val="0"/>
                <w:szCs w:val="21"/>
              </w:rPr>
            </w:pPr>
            <w:r>
              <w:rPr>
                <w:color w:val="000000"/>
                <w:kern w:val="0"/>
                <w:szCs w:val="21"/>
              </w:rPr>
              <w:t xml:space="preserve">0.37 </w:t>
            </w:r>
          </w:p>
        </w:tc>
        <w:tc>
          <w:tcPr>
            <w:tcW w:w="451" w:type="pct"/>
            <w:tcBorders>
              <w:top w:val="nil"/>
              <w:left w:val="nil"/>
              <w:bottom w:val="single" w:color="auto" w:sz="4" w:space="0"/>
              <w:right w:val="single" w:color="auto" w:sz="4" w:space="0"/>
            </w:tcBorders>
            <w:shd w:val="clear" w:color="auto" w:fill="auto"/>
            <w:noWrap/>
            <w:vAlign w:val="center"/>
          </w:tcPr>
          <w:p w14:paraId="66529815">
            <w:pPr>
              <w:widowControl/>
              <w:spacing w:line="240" w:lineRule="auto"/>
              <w:ind w:firstLine="0" w:firstLineChars="0"/>
              <w:jc w:val="center"/>
              <w:rPr>
                <w:color w:val="000000"/>
                <w:kern w:val="0"/>
                <w:szCs w:val="21"/>
              </w:rPr>
            </w:pPr>
            <w:r>
              <w:rPr>
                <w:color w:val="000000"/>
                <w:kern w:val="0"/>
                <w:szCs w:val="21"/>
              </w:rPr>
              <w:t xml:space="preserve">0.43 </w:t>
            </w:r>
          </w:p>
        </w:tc>
        <w:tc>
          <w:tcPr>
            <w:tcW w:w="451" w:type="pct"/>
            <w:tcBorders>
              <w:top w:val="nil"/>
              <w:left w:val="nil"/>
              <w:bottom w:val="single" w:color="auto" w:sz="4" w:space="0"/>
              <w:right w:val="single" w:color="auto" w:sz="4" w:space="0"/>
            </w:tcBorders>
            <w:shd w:val="clear" w:color="auto" w:fill="auto"/>
            <w:noWrap/>
            <w:vAlign w:val="center"/>
          </w:tcPr>
          <w:p w14:paraId="09A156A4">
            <w:pPr>
              <w:widowControl/>
              <w:spacing w:line="240" w:lineRule="auto"/>
              <w:ind w:firstLine="0" w:firstLineChars="0"/>
              <w:jc w:val="center"/>
              <w:rPr>
                <w:color w:val="000000"/>
                <w:kern w:val="0"/>
                <w:szCs w:val="21"/>
              </w:rPr>
            </w:pPr>
            <w:r>
              <w:rPr>
                <w:color w:val="000000"/>
                <w:kern w:val="0"/>
                <w:szCs w:val="21"/>
              </w:rPr>
              <w:t xml:space="preserve">0.49 </w:t>
            </w:r>
          </w:p>
        </w:tc>
        <w:tc>
          <w:tcPr>
            <w:tcW w:w="451" w:type="pct"/>
            <w:tcBorders>
              <w:top w:val="nil"/>
              <w:left w:val="nil"/>
              <w:bottom w:val="single" w:color="auto" w:sz="4" w:space="0"/>
              <w:right w:val="single" w:color="auto" w:sz="4" w:space="0"/>
            </w:tcBorders>
            <w:shd w:val="clear" w:color="auto" w:fill="auto"/>
            <w:noWrap/>
            <w:vAlign w:val="center"/>
          </w:tcPr>
          <w:p w14:paraId="0D859278">
            <w:pPr>
              <w:widowControl/>
              <w:spacing w:line="240" w:lineRule="auto"/>
              <w:ind w:firstLine="0" w:firstLineChars="0"/>
              <w:jc w:val="center"/>
              <w:rPr>
                <w:color w:val="000000"/>
                <w:kern w:val="0"/>
                <w:szCs w:val="21"/>
              </w:rPr>
            </w:pPr>
            <w:r>
              <w:rPr>
                <w:color w:val="000000"/>
                <w:kern w:val="0"/>
                <w:szCs w:val="21"/>
              </w:rPr>
              <w:t xml:space="preserve">0.51 </w:t>
            </w:r>
          </w:p>
        </w:tc>
        <w:tc>
          <w:tcPr>
            <w:tcW w:w="451" w:type="pct"/>
            <w:tcBorders>
              <w:top w:val="nil"/>
              <w:left w:val="nil"/>
              <w:bottom w:val="single" w:color="auto" w:sz="4" w:space="0"/>
              <w:right w:val="single" w:color="auto" w:sz="4" w:space="0"/>
            </w:tcBorders>
            <w:shd w:val="clear" w:color="auto" w:fill="auto"/>
            <w:noWrap/>
            <w:vAlign w:val="center"/>
          </w:tcPr>
          <w:p w14:paraId="5850C49B">
            <w:pPr>
              <w:widowControl/>
              <w:spacing w:line="240" w:lineRule="auto"/>
              <w:ind w:firstLine="0" w:firstLineChars="0"/>
              <w:jc w:val="center"/>
              <w:rPr>
                <w:color w:val="000000"/>
                <w:kern w:val="0"/>
                <w:szCs w:val="21"/>
              </w:rPr>
            </w:pPr>
            <w:r>
              <w:rPr>
                <w:color w:val="000000"/>
                <w:kern w:val="0"/>
                <w:szCs w:val="21"/>
              </w:rPr>
              <w:t xml:space="preserve">0.50 </w:t>
            </w:r>
          </w:p>
        </w:tc>
        <w:tc>
          <w:tcPr>
            <w:tcW w:w="451" w:type="pct"/>
            <w:tcBorders>
              <w:top w:val="nil"/>
              <w:left w:val="nil"/>
              <w:bottom w:val="single" w:color="auto" w:sz="4" w:space="0"/>
              <w:right w:val="single" w:color="auto" w:sz="4" w:space="0"/>
            </w:tcBorders>
            <w:shd w:val="clear" w:color="auto" w:fill="auto"/>
            <w:noWrap/>
            <w:vAlign w:val="center"/>
          </w:tcPr>
          <w:p w14:paraId="2D93654C">
            <w:pPr>
              <w:widowControl/>
              <w:spacing w:line="240" w:lineRule="auto"/>
              <w:ind w:firstLine="0" w:firstLineChars="0"/>
              <w:jc w:val="center"/>
              <w:rPr>
                <w:color w:val="000000"/>
                <w:kern w:val="0"/>
                <w:szCs w:val="21"/>
              </w:rPr>
            </w:pPr>
            <w:r>
              <w:rPr>
                <w:color w:val="000000"/>
                <w:kern w:val="0"/>
                <w:szCs w:val="21"/>
              </w:rPr>
              <w:t xml:space="preserve">0.36 </w:t>
            </w:r>
          </w:p>
        </w:tc>
      </w:tr>
      <w:tr w14:paraId="5C1DC3F8">
        <w:tblPrEx>
          <w:tblCellMar>
            <w:top w:w="0" w:type="dxa"/>
            <w:left w:w="108" w:type="dxa"/>
            <w:bottom w:w="0" w:type="dxa"/>
            <w:right w:w="108" w:type="dxa"/>
          </w:tblCellMar>
        </w:tblPrEx>
        <w:trPr>
          <w:trHeight w:val="371" w:hRule="atLeast"/>
        </w:trPr>
        <w:tc>
          <w:tcPr>
            <w:tcW w:w="782" w:type="pct"/>
            <w:vMerge w:val="continue"/>
            <w:tcBorders>
              <w:left w:val="single" w:color="auto" w:sz="4" w:space="0"/>
              <w:right w:val="single" w:color="auto" w:sz="4" w:space="0"/>
            </w:tcBorders>
            <w:shd w:val="clear" w:color="auto" w:fill="auto"/>
            <w:vAlign w:val="center"/>
          </w:tcPr>
          <w:p w14:paraId="7E15282D">
            <w:pPr>
              <w:widowControl/>
              <w:spacing w:line="240" w:lineRule="auto"/>
              <w:ind w:firstLine="0" w:firstLineChars="0"/>
              <w:jc w:val="center"/>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0CB33339">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nil"/>
              <w:left w:val="nil"/>
              <w:bottom w:val="single" w:color="auto" w:sz="4" w:space="0"/>
              <w:right w:val="single" w:color="auto" w:sz="4" w:space="0"/>
            </w:tcBorders>
            <w:shd w:val="clear" w:color="auto" w:fill="auto"/>
            <w:noWrap/>
            <w:vAlign w:val="center"/>
          </w:tcPr>
          <w:p w14:paraId="51C0C256">
            <w:pPr>
              <w:widowControl/>
              <w:spacing w:line="240" w:lineRule="auto"/>
              <w:ind w:firstLine="0" w:firstLineChars="0"/>
              <w:jc w:val="center"/>
              <w:rPr>
                <w:color w:val="000000"/>
                <w:kern w:val="0"/>
                <w:szCs w:val="21"/>
              </w:rPr>
            </w:pPr>
            <w:r>
              <w:rPr>
                <w:color w:val="000000"/>
                <w:kern w:val="0"/>
                <w:szCs w:val="21"/>
              </w:rPr>
              <w:t xml:space="preserve">1.00 </w:t>
            </w:r>
          </w:p>
        </w:tc>
        <w:tc>
          <w:tcPr>
            <w:tcW w:w="451" w:type="pct"/>
            <w:tcBorders>
              <w:top w:val="nil"/>
              <w:left w:val="nil"/>
              <w:bottom w:val="single" w:color="auto" w:sz="4" w:space="0"/>
              <w:right w:val="single" w:color="auto" w:sz="4" w:space="0"/>
            </w:tcBorders>
            <w:shd w:val="clear" w:color="auto" w:fill="auto"/>
            <w:noWrap/>
            <w:vAlign w:val="center"/>
          </w:tcPr>
          <w:p w14:paraId="6AEC32A8">
            <w:pPr>
              <w:widowControl/>
              <w:spacing w:line="240" w:lineRule="auto"/>
              <w:ind w:firstLine="0" w:firstLineChars="0"/>
              <w:jc w:val="center"/>
              <w:rPr>
                <w:color w:val="000000"/>
                <w:kern w:val="0"/>
                <w:szCs w:val="21"/>
              </w:rPr>
            </w:pPr>
            <w:r>
              <w:rPr>
                <w:color w:val="000000"/>
                <w:kern w:val="0"/>
                <w:szCs w:val="21"/>
              </w:rPr>
              <w:t xml:space="preserve">0.99 </w:t>
            </w:r>
          </w:p>
        </w:tc>
        <w:tc>
          <w:tcPr>
            <w:tcW w:w="451" w:type="pct"/>
            <w:tcBorders>
              <w:top w:val="nil"/>
              <w:left w:val="nil"/>
              <w:bottom w:val="single" w:color="auto" w:sz="4" w:space="0"/>
              <w:right w:val="single" w:color="auto" w:sz="4" w:space="0"/>
            </w:tcBorders>
            <w:shd w:val="clear" w:color="auto" w:fill="auto"/>
            <w:noWrap/>
            <w:vAlign w:val="center"/>
          </w:tcPr>
          <w:p w14:paraId="026059EF">
            <w:pPr>
              <w:widowControl/>
              <w:spacing w:line="240" w:lineRule="auto"/>
              <w:ind w:firstLine="0" w:firstLineChars="0"/>
              <w:jc w:val="center"/>
              <w:rPr>
                <w:color w:val="000000"/>
                <w:kern w:val="0"/>
                <w:szCs w:val="21"/>
              </w:rPr>
            </w:pPr>
            <w:r>
              <w:rPr>
                <w:color w:val="000000"/>
                <w:kern w:val="0"/>
                <w:szCs w:val="21"/>
              </w:rPr>
              <w:t xml:space="preserve">0.98 </w:t>
            </w:r>
          </w:p>
        </w:tc>
        <w:tc>
          <w:tcPr>
            <w:tcW w:w="451" w:type="pct"/>
            <w:tcBorders>
              <w:top w:val="nil"/>
              <w:left w:val="nil"/>
              <w:bottom w:val="single" w:color="auto" w:sz="4" w:space="0"/>
              <w:right w:val="single" w:color="auto" w:sz="4" w:space="0"/>
            </w:tcBorders>
            <w:shd w:val="clear" w:color="auto" w:fill="auto"/>
            <w:noWrap/>
            <w:vAlign w:val="center"/>
          </w:tcPr>
          <w:p w14:paraId="4566E5E3">
            <w:pPr>
              <w:widowControl/>
              <w:spacing w:line="240" w:lineRule="auto"/>
              <w:ind w:firstLine="0" w:firstLineChars="0"/>
              <w:jc w:val="center"/>
              <w:rPr>
                <w:color w:val="000000"/>
                <w:kern w:val="0"/>
                <w:szCs w:val="21"/>
              </w:rPr>
            </w:pPr>
            <w:r>
              <w:rPr>
                <w:color w:val="000000"/>
                <w:kern w:val="0"/>
                <w:szCs w:val="21"/>
              </w:rPr>
              <w:t xml:space="preserve">0.93 </w:t>
            </w:r>
          </w:p>
        </w:tc>
        <w:tc>
          <w:tcPr>
            <w:tcW w:w="451" w:type="pct"/>
            <w:tcBorders>
              <w:top w:val="nil"/>
              <w:left w:val="nil"/>
              <w:bottom w:val="single" w:color="auto" w:sz="4" w:space="0"/>
              <w:right w:val="single" w:color="auto" w:sz="4" w:space="0"/>
            </w:tcBorders>
            <w:shd w:val="clear" w:color="auto" w:fill="auto"/>
            <w:noWrap/>
            <w:vAlign w:val="center"/>
          </w:tcPr>
          <w:p w14:paraId="178E1AEC">
            <w:pPr>
              <w:widowControl/>
              <w:spacing w:line="240" w:lineRule="auto"/>
              <w:ind w:firstLine="0" w:firstLineChars="0"/>
              <w:jc w:val="center"/>
              <w:rPr>
                <w:color w:val="000000"/>
                <w:kern w:val="0"/>
                <w:szCs w:val="21"/>
              </w:rPr>
            </w:pPr>
            <w:r>
              <w:rPr>
                <w:color w:val="000000"/>
                <w:kern w:val="0"/>
                <w:szCs w:val="21"/>
              </w:rPr>
              <w:t xml:space="preserve">1.00 </w:t>
            </w:r>
          </w:p>
        </w:tc>
        <w:tc>
          <w:tcPr>
            <w:tcW w:w="451" w:type="pct"/>
            <w:tcBorders>
              <w:top w:val="nil"/>
              <w:left w:val="nil"/>
              <w:bottom w:val="single" w:color="auto" w:sz="4" w:space="0"/>
              <w:right w:val="single" w:color="auto" w:sz="4" w:space="0"/>
            </w:tcBorders>
            <w:shd w:val="clear" w:color="auto" w:fill="auto"/>
            <w:noWrap/>
            <w:vAlign w:val="center"/>
          </w:tcPr>
          <w:p w14:paraId="41AB97F7">
            <w:pPr>
              <w:widowControl/>
              <w:spacing w:line="240" w:lineRule="auto"/>
              <w:ind w:firstLine="0" w:firstLineChars="0"/>
              <w:jc w:val="center"/>
              <w:rPr>
                <w:color w:val="000000"/>
                <w:kern w:val="0"/>
                <w:szCs w:val="21"/>
              </w:rPr>
            </w:pPr>
            <w:r>
              <w:rPr>
                <w:color w:val="000000"/>
                <w:kern w:val="0"/>
                <w:szCs w:val="21"/>
              </w:rPr>
              <w:t xml:space="preserve">0.99 </w:t>
            </w:r>
          </w:p>
        </w:tc>
        <w:tc>
          <w:tcPr>
            <w:tcW w:w="451" w:type="pct"/>
            <w:tcBorders>
              <w:top w:val="nil"/>
              <w:left w:val="nil"/>
              <w:bottom w:val="single" w:color="auto" w:sz="4" w:space="0"/>
              <w:right w:val="single" w:color="auto" w:sz="4" w:space="0"/>
            </w:tcBorders>
            <w:shd w:val="clear" w:color="auto" w:fill="auto"/>
            <w:noWrap/>
            <w:vAlign w:val="center"/>
          </w:tcPr>
          <w:p w14:paraId="6EF1BC77">
            <w:pPr>
              <w:widowControl/>
              <w:spacing w:line="240" w:lineRule="auto"/>
              <w:ind w:firstLine="0" w:firstLineChars="0"/>
              <w:jc w:val="center"/>
              <w:rPr>
                <w:color w:val="000000"/>
                <w:kern w:val="0"/>
                <w:szCs w:val="21"/>
              </w:rPr>
            </w:pPr>
            <w:r>
              <w:rPr>
                <w:color w:val="000000"/>
                <w:kern w:val="0"/>
                <w:szCs w:val="21"/>
              </w:rPr>
              <w:t xml:space="preserve">0.96 </w:t>
            </w:r>
          </w:p>
        </w:tc>
        <w:tc>
          <w:tcPr>
            <w:tcW w:w="451" w:type="pct"/>
            <w:tcBorders>
              <w:top w:val="nil"/>
              <w:left w:val="nil"/>
              <w:bottom w:val="single" w:color="auto" w:sz="4" w:space="0"/>
              <w:right w:val="single" w:color="auto" w:sz="4" w:space="0"/>
            </w:tcBorders>
            <w:shd w:val="clear" w:color="auto" w:fill="auto"/>
            <w:noWrap/>
            <w:vAlign w:val="center"/>
          </w:tcPr>
          <w:p w14:paraId="4AD803FC">
            <w:pPr>
              <w:widowControl/>
              <w:spacing w:line="240" w:lineRule="auto"/>
              <w:ind w:firstLine="0" w:firstLineChars="0"/>
              <w:jc w:val="center"/>
              <w:rPr>
                <w:color w:val="000000"/>
                <w:kern w:val="0"/>
                <w:szCs w:val="21"/>
              </w:rPr>
            </w:pPr>
            <w:r>
              <w:rPr>
                <w:color w:val="000000"/>
                <w:kern w:val="0"/>
                <w:szCs w:val="21"/>
              </w:rPr>
              <w:t xml:space="preserve">0.90 </w:t>
            </w:r>
          </w:p>
        </w:tc>
      </w:tr>
      <w:tr w14:paraId="24AA0564">
        <w:tblPrEx>
          <w:tblCellMar>
            <w:top w:w="0" w:type="dxa"/>
            <w:left w:w="108" w:type="dxa"/>
            <w:bottom w:w="0" w:type="dxa"/>
            <w:right w:w="108" w:type="dxa"/>
          </w:tblCellMar>
        </w:tblPrEx>
        <w:trPr>
          <w:trHeight w:val="371" w:hRule="atLeast"/>
        </w:trPr>
        <w:tc>
          <w:tcPr>
            <w:tcW w:w="782" w:type="pct"/>
            <w:vMerge w:val="continue"/>
            <w:tcBorders>
              <w:left w:val="single" w:color="auto" w:sz="4" w:space="0"/>
              <w:bottom w:val="single" w:color="auto" w:sz="4" w:space="0"/>
              <w:right w:val="single" w:color="auto" w:sz="4" w:space="0"/>
            </w:tcBorders>
            <w:shd w:val="clear" w:color="auto" w:fill="auto"/>
            <w:vAlign w:val="center"/>
          </w:tcPr>
          <w:p w14:paraId="7CF3F0BC">
            <w:pPr>
              <w:widowControl/>
              <w:spacing w:line="240" w:lineRule="auto"/>
              <w:ind w:firstLine="0" w:firstLineChars="0"/>
              <w:jc w:val="left"/>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35674EDD">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574943C8">
            <w:pPr>
              <w:widowControl/>
              <w:spacing w:line="240" w:lineRule="auto"/>
              <w:ind w:firstLine="0" w:firstLineChars="0"/>
              <w:jc w:val="center"/>
              <w:rPr>
                <w:color w:val="000000"/>
                <w:kern w:val="0"/>
                <w:szCs w:val="21"/>
              </w:rPr>
            </w:pPr>
            <w:r>
              <w:rPr>
                <w:color w:val="000000"/>
                <w:kern w:val="0"/>
                <w:szCs w:val="21"/>
              </w:rPr>
              <w:t xml:space="preserve">0.30 </w:t>
            </w:r>
          </w:p>
        </w:tc>
        <w:tc>
          <w:tcPr>
            <w:tcW w:w="451" w:type="pct"/>
            <w:tcBorders>
              <w:top w:val="nil"/>
              <w:left w:val="nil"/>
              <w:bottom w:val="single" w:color="auto" w:sz="4" w:space="0"/>
              <w:right w:val="single" w:color="auto" w:sz="4" w:space="0"/>
            </w:tcBorders>
            <w:shd w:val="clear" w:color="auto" w:fill="auto"/>
            <w:noWrap/>
            <w:vAlign w:val="center"/>
          </w:tcPr>
          <w:p w14:paraId="30BA4525">
            <w:pPr>
              <w:widowControl/>
              <w:spacing w:line="240" w:lineRule="auto"/>
              <w:ind w:firstLine="0" w:firstLineChars="0"/>
              <w:jc w:val="center"/>
              <w:rPr>
                <w:color w:val="000000"/>
                <w:kern w:val="0"/>
                <w:szCs w:val="21"/>
              </w:rPr>
            </w:pPr>
            <w:r>
              <w:rPr>
                <w:color w:val="000000"/>
                <w:kern w:val="0"/>
                <w:szCs w:val="21"/>
              </w:rPr>
              <w:t xml:space="preserve">0.31 </w:t>
            </w:r>
          </w:p>
        </w:tc>
        <w:tc>
          <w:tcPr>
            <w:tcW w:w="451" w:type="pct"/>
            <w:tcBorders>
              <w:top w:val="nil"/>
              <w:left w:val="nil"/>
              <w:bottom w:val="single" w:color="auto" w:sz="4" w:space="0"/>
              <w:right w:val="single" w:color="auto" w:sz="4" w:space="0"/>
            </w:tcBorders>
            <w:shd w:val="clear" w:color="auto" w:fill="auto"/>
            <w:noWrap/>
            <w:vAlign w:val="center"/>
          </w:tcPr>
          <w:p w14:paraId="74FB6F16">
            <w:pPr>
              <w:widowControl/>
              <w:spacing w:line="240" w:lineRule="auto"/>
              <w:ind w:firstLine="0" w:firstLineChars="0"/>
              <w:jc w:val="center"/>
              <w:rPr>
                <w:color w:val="000000"/>
                <w:kern w:val="0"/>
                <w:szCs w:val="21"/>
              </w:rPr>
            </w:pPr>
            <w:r>
              <w:rPr>
                <w:color w:val="000000"/>
                <w:kern w:val="0"/>
                <w:szCs w:val="21"/>
              </w:rPr>
              <w:t xml:space="preserve">0.32 </w:t>
            </w:r>
          </w:p>
        </w:tc>
        <w:tc>
          <w:tcPr>
            <w:tcW w:w="451" w:type="pct"/>
            <w:tcBorders>
              <w:top w:val="nil"/>
              <w:left w:val="nil"/>
              <w:bottom w:val="single" w:color="auto" w:sz="4" w:space="0"/>
              <w:right w:val="single" w:color="auto" w:sz="4" w:space="0"/>
            </w:tcBorders>
            <w:shd w:val="clear" w:color="auto" w:fill="auto"/>
            <w:noWrap/>
            <w:vAlign w:val="center"/>
          </w:tcPr>
          <w:p w14:paraId="6CE1863E">
            <w:pPr>
              <w:widowControl/>
              <w:spacing w:line="240" w:lineRule="auto"/>
              <w:ind w:firstLine="0" w:firstLineChars="0"/>
              <w:jc w:val="center"/>
              <w:rPr>
                <w:color w:val="000000"/>
                <w:kern w:val="0"/>
                <w:szCs w:val="21"/>
              </w:rPr>
            </w:pPr>
            <w:r>
              <w:rPr>
                <w:color w:val="000000"/>
                <w:kern w:val="0"/>
                <w:szCs w:val="21"/>
              </w:rPr>
              <w:t xml:space="preserve">0.28 </w:t>
            </w:r>
          </w:p>
        </w:tc>
        <w:tc>
          <w:tcPr>
            <w:tcW w:w="451" w:type="pct"/>
            <w:tcBorders>
              <w:top w:val="nil"/>
              <w:left w:val="nil"/>
              <w:bottom w:val="single" w:color="auto" w:sz="4" w:space="0"/>
              <w:right w:val="single" w:color="auto" w:sz="4" w:space="0"/>
            </w:tcBorders>
            <w:shd w:val="clear" w:color="auto" w:fill="auto"/>
            <w:noWrap/>
            <w:vAlign w:val="center"/>
          </w:tcPr>
          <w:p w14:paraId="22E7DE0E">
            <w:pPr>
              <w:widowControl/>
              <w:spacing w:line="240" w:lineRule="auto"/>
              <w:ind w:firstLine="0" w:firstLineChars="0"/>
              <w:jc w:val="center"/>
              <w:rPr>
                <w:color w:val="000000"/>
                <w:kern w:val="0"/>
                <w:szCs w:val="21"/>
              </w:rPr>
            </w:pPr>
            <w:r>
              <w:rPr>
                <w:color w:val="000000"/>
                <w:kern w:val="0"/>
                <w:szCs w:val="21"/>
              </w:rPr>
              <w:t xml:space="preserve">0.30 </w:t>
            </w:r>
          </w:p>
        </w:tc>
        <w:tc>
          <w:tcPr>
            <w:tcW w:w="451" w:type="pct"/>
            <w:tcBorders>
              <w:top w:val="nil"/>
              <w:left w:val="nil"/>
              <w:bottom w:val="single" w:color="auto" w:sz="4" w:space="0"/>
              <w:right w:val="single" w:color="auto" w:sz="4" w:space="0"/>
            </w:tcBorders>
            <w:shd w:val="clear" w:color="auto" w:fill="auto"/>
            <w:noWrap/>
            <w:vAlign w:val="center"/>
          </w:tcPr>
          <w:p w14:paraId="343E775C">
            <w:pPr>
              <w:widowControl/>
              <w:spacing w:line="240" w:lineRule="auto"/>
              <w:ind w:firstLine="0" w:firstLineChars="0"/>
              <w:jc w:val="center"/>
              <w:rPr>
                <w:color w:val="000000"/>
                <w:kern w:val="0"/>
                <w:szCs w:val="21"/>
              </w:rPr>
            </w:pPr>
            <w:r>
              <w:rPr>
                <w:color w:val="000000"/>
                <w:kern w:val="0"/>
                <w:szCs w:val="21"/>
              </w:rPr>
              <w:t xml:space="preserve">0.31 </w:t>
            </w:r>
          </w:p>
        </w:tc>
        <w:tc>
          <w:tcPr>
            <w:tcW w:w="451" w:type="pct"/>
            <w:tcBorders>
              <w:top w:val="nil"/>
              <w:left w:val="nil"/>
              <w:bottom w:val="single" w:color="auto" w:sz="4" w:space="0"/>
              <w:right w:val="single" w:color="auto" w:sz="4" w:space="0"/>
            </w:tcBorders>
            <w:shd w:val="clear" w:color="auto" w:fill="auto"/>
            <w:noWrap/>
            <w:vAlign w:val="center"/>
          </w:tcPr>
          <w:p w14:paraId="5B75C7B5">
            <w:pPr>
              <w:widowControl/>
              <w:spacing w:line="240" w:lineRule="auto"/>
              <w:ind w:firstLine="0" w:firstLineChars="0"/>
              <w:jc w:val="center"/>
              <w:rPr>
                <w:color w:val="000000"/>
                <w:kern w:val="0"/>
                <w:szCs w:val="21"/>
              </w:rPr>
            </w:pPr>
            <w:r>
              <w:rPr>
                <w:color w:val="000000"/>
                <w:kern w:val="0"/>
                <w:szCs w:val="21"/>
              </w:rPr>
              <w:t xml:space="preserve">0.32 </w:t>
            </w:r>
          </w:p>
        </w:tc>
        <w:tc>
          <w:tcPr>
            <w:tcW w:w="451" w:type="pct"/>
            <w:tcBorders>
              <w:top w:val="nil"/>
              <w:left w:val="nil"/>
              <w:bottom w:val="single" w:color="auto" w:sz="4" w:space="0"/>
              <w:right w:val="single" w:color="auto" w:sz="4" w:space="0"/>
            </w:tcBorders>
            <w:shd w:val="clear" w:color="auto" w:fill="auto"/>
            <w:noWrap/>
            <w:vAlign w:val="center"/>
          </w:tcPr>
          <w:p w14:paraId="507B48F0">
            <w:pPr>
              <w:widowControl/>
              <w:spacing w:line="240" w:lineRule="auto"/>
              <w:ind w:firstLine="0" w:firstLineChars="0"/>
              <w:jc w:val="center"/>
              <w:rPr>
                <w:color w:val="000000"/>
                <w:kern w:val="0"/>
                <w:szCs w:val="21"/>
              </w:rPr>
            </w:pPr>
            <w:r>
              <w:rPr>
                <w:color w:val="000000"/>
                <w:kern w:val="0"/>
                <w:szCs w:val="21"/>
              </w:rPr>
              <w:t xml:space="preserve">0.28 </w:t>
            </w:r>
          </w:p>
        </w:tc>
      </w:tr>
      <w:tr w14:paraId="15A38FB7">
        <w:tblPrEx>
          <w:tblCellMar>
            <w:top w:w="0" w:type="dxa"/>
            <w:left w:w="108" w:type="dxa"/>
            <w:bottom w:w="0" w:type="dxa"/>
            <w:right w:w="108" w:type="dxa"/>
          </w:tblCellMar>
        </w:tblPrEx>
        <w:trPr>
          <w:trHeight w:val="371" w:hRule="atLeast"/>
        </w:trPr>
        <w:tc>
          <w:tcPr>
            <w:tcW w:w="78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D9DE1">
            <w:pPr>
              <w:widowControl/>
              <w:spacing w:line="240" w:lineRule="auto"/>
              <w:ind w:firstLine="0" w:firstLineChars="0"/>
              <w:jc w:val="center"/>
              <w:rPr>
                <w:color w:val="000000"/>
                <w:kern w:val="0"/>
                <w:szCs w:val="21"/>
              </w:rPr>
            </w:pPr>
            <w:r>
              <w:rPr>
                <w:rFonts w:hint="eastAsia"/>
                <w:color w:val="000000"/>
                <w:kern w:val="0"/>
                <w:szCs w:val="21"/>
              </w:rPr>
              <w:t>QW</w:t>
            </w:r>
          </w:p>
        </w:tc>
        <w:tc>
          <w:tcPr>
            <w:tcW w:w="609" w:type="pct"/>
            <w:tcBorders>
              <w:top w:val="nil"/>
              <w:left w:val="nil"/>
              <w:bottom w:val="single" w:color="auto" w:sz="4" w:space="0"/>
              <w:right w:val="single" w:color="auto" w:sz="4" w:space="0"/>
            </w:tcBorders>
            <w:shd w:val="clear" w:color="auto" w:fill="auto"/>
            <w:noWrap/>
            <w:vAlign w:val="center"/>
          </w:tcPr>
          <w:p w14:paraId="1EBE7E55">
            <w:pPr>
              <w:widowControl/>
              <w:spacing w:line="240" w:lineRule="auto"/>
              <w:ind w:firstLine="0" w:firstLineChars="0"/>
              <w:jc w:val="center"/>
              <w:rPr>
                <w:color w:val="000000"/>
                <w:kern w:val="0"/>
                <w:szCs w:val="21"/>
              </w:rPr>
            </w:pPr>
            <w:r>
              <w:rPr>
                <w:i/>
                <w:color w:val="000000"/>
                <w:kern w:val="0"/>
                <w:szCs w:val="21"/>
              </w:rPr>
              <w:t>R</w:t>
            </w:r>
            <w:r>
              <w:rPr>
                <w:color w:val="000000"/>
                <w:kern w:val="0"/>
                <w:szCs w:val="21"/>
                <w:vertAlign w:val="superscript"/>
              </w:rPr>
              <w:t>2</w:t>
            </w:r>
          </w:p>
        </w:tc>
        <w:tc>
          <w:tcPr>
            <w:tcW w:w="451" w:type="pct"/>
            <w:tcBorders>
              <w:top w:val="nil"/>
              <w:left w:val="nil"/>
              <w:bottom w:val="single" w:color="auto" w:sz="4" w:space="0"/>
              <w:right w:val="single" w:color="auto" w:sz="4" w:space="0"/>
            </w:tcBorders>
            <w:shd w:val="clear" w:color="auto" w:fill="auto"/>
            <w:noWrap/>
            <w:vAlign w:val="center"/>
          </w:tcPr>
          <w:p w14:paraId="0D014232">
            <w:pPr>
              <w:widowControl/>
              <w:spacing w:line="240" w:lineRule="auto"/>
              <w:ind w:firstLine="0" w:firstLineChars="0"/>
              <w:jc w:val="center"/>
              <w:rPr>
                <w:color w:val="000000"/>
                <w:kern w:val="0"/>
                <w:szCs w:val="21"/>
              </w:rPr>
            </w:pPr>
            <w:r>
              <w:rPr>
                <w:color w:val="000000"/>
                <w:szCs w:val="21"/>
              </w:rPr>
              <w:t xml:space="preserve">0.81 </w:t>
            </w:r>
          </w:p>
        </w:tc>
        <w:tc>
          <w:tcPr>
            <w:tcW w:w="451" w:type="pct"/>
            <w:tcBorders>
              <w:top w:val="nil"/>
              <w:left w:val="nil"/>
              <w:bottom w:val="single" w:color="auto" w:sz="4" w:space="0"/>
              <w:right w:val="single" w:color="auto" w:sz="4" w:space="0"/>
            </w:tcBorders>
            <w:shd w:val="clear" w:color="auto" w:fill="auto"/>
            <w:noWrap/>
            <w:vAlign w:val="center"/>
          </w:tcPr>
          <w:p w14:paraId="04553E4D">
            <w:pPr>
              <w:widowControl/>
              <w:spacing w:line="240" w:lineRule="auto"/>
              <w:ind w:firstLine="0" w:firstLineChars="0"/>
              <w:jc w:val="center"/>
              <w:rPr>
                <w:color w:val="000000"/>
                <w:kern w:val="0"/>
                <w:szCs w:val="21"/>
              </w:rPr>
            </w:pPr>
            <w:r>
              <w:rPr>
                <w:color w:val="000000"/>
                <w:szCs w:val="21"/>
              </w:rPr>
              <w:t xml:space="preserve">0.86 </w:t>
            </w:r>
          </w:p>
        </w:tc>
        <w:tc>
          <w:tcPr>
            <w:tcW w:w="451" w:type="pct"/>
            <w:tcBorders>
              <w:top w:val="nil"/>
              <w:left w:val="nil"/>
              <w:bottom w:val="single" w:color="auto" w:sz="4" w:space="0"/>
              <w:right w:val="single" w:color="auto" w:sz="4" w:space="0"/>
            </w:tcBorders>
            <w:shd w:val="clear" w:color="auto" w:fill="auto"/>
            <w:noWrap/>
            <w:vAlign w:val="center"/>
          </w:tcPr>
          <w:p w14:paraId="5543C40C">
            <w:pPr>
              <w:widowControl/>
              <w:spacing w:line="240" w:lineRule="auto"/>
              <w:ind w:firstLine="0" w:firstLineChars="0"/>
              <w:jc w:val="center"/>
              <w:rPr>
                <w:color w:val="000000"/>
                <w:kern w:val="0"/>
                <w:szCs w:val="21"/>
              </w:rPr>
            </w:pPr>
            <w:r>
              <w:rPr>
                <w:color w:val="000000"/>
                <w:szCs w:val="21"/>
              </w:rPr>
              <w:t xml:space="preserve">0.77 </w:t>
            </w:r>
          </w:p>
        </w:tc>
        <w:tc>
          <w:tcPr>
            <w:tcW w:w="451" w:type="pct"/>
            <w:tcBorders>
              <w:top w:val="nil"/>
              <w:left w:val="nil"/>
              <w:bottom w:val="single" w:color="auto" w:sz="4" w:space="0"/>
              <w:right w:val="single" w:color="auto" w:sz="4" w:space="0"/>
            </w:tcBorders>
            <w:shd w:val="clear" w:color="auto" w:fill="auto"/>
            <w:noWrap/>
            <w:vAlign w:val="center"/>
          </w:tcPr>
          <w:p w14:paraId="23C4E36B">
            <w:pPr>
              <w:widowControl/>
              <w:spacing w:line="240" w:lineRule="auto"/>
              <w:ind w:firstLine="0" w:firstLineChars="0"/>
              <w:jc w:val="center"/>
              <w:rPr>
                <w:color w:val="000000"/>
                <w:kern w:val="0"/>
                <w:szCs w:val="21"/>
              </w:rPr>
            </w:pPr>
            <w:r>
              <w:rPr>
                <w:color w:val="000000"/>
                <w:szCs w:val="21"/>
              </w:rPr>
              <w:t xml:space="preserve">0.80 </w:t>
            </w:r>
          </w:p>
        </w:tc>
        <w:tc>
          <w:tcPr>
            <w:tcW w:w="451" w:type="pct"/>
            <w:tcBorders>
              <w:top w:val="nil"/>
              <w:left w:val="nil"/>
              <w:bottom w:val="single" w:color="auto" w:sz="4" w:space="0"/>
              <w:right w:val="single" w:color="auto" w:sz="4" w:space="0"/>
            </w:tcBorders>
            <w:shd w:val="clear" w:color="auto" w:fill="auto"/>
            <w:noWrap/>
            <w:vAlign w:val="center"/>
          </w:tcPr>
          <w:p w14:paraId="5355384B">
            <w:pPr>
              <w:widowControl/>
              <w:spacing w:line="240" w:lineRule="auto"/>
              <w:ind w:firstLine="0" w:firstLineChars="0"/>
              <w:jc w:val="center"/>
              <w:rPr>
                <w:color w:val="000000"/>
                <w:kern w:val="0"/>
                <w:szCs w:val="21"/>
              </w:rPr>
            </w:pPr>
            <w:r>
              <w:rPr>
                <w:color w:val="000000"/>
                <w:szCs w:val="21"/>
              </w:rPr>
              <w:t xml:space="preserve">0.72 </w:t>
            </w:r>
          </w:p>
        </w:tc>
        <w:tc>
          <w:tcPr>
            <w:tcW w:w="451" w:type="pct"/>
            <w:tcBorders>
              <w:top w:val="nil"/>
              <w:left w:val="nil"/>
              <w:bottom w:val="single" w:color="auto" w:sz="4" w:space="0"/>
              <w:right w:val="single" w:color="auto" w:sz="4" w:space="0"/>
            </w:tcBorders>
            <w:shd w:val="clear" w:color="auto" w:fill="auto"/>
            <w:noWrap/>
            <w:vAlign w:val="center"/>
          </w:tcPr>
          <w:p w14:paraId="075D6679">
            <w:pPr>
              <w:widowControl/>
              <w:spacing w:line="240" w:lineRule="auto"/>
              <w:ind w:firstLine="0" w:firstLineChars="0"/>
              <w:jc w:val="center"/>
              <w:rPr>
                <w:color w:val="000000"/>
                <w:kern w:val="0"/>
                <w:szCs w:val="21"/>
              </w:rPr>
            </w:pPr>
            <w:r>
              <w:rPr>
                <w:color w:val="000000"/>
                <w:szCs w:val="21"/>
              </w:rPr>
              <w:t xml:space="preserve">0.72 </w:t>
            </w:r>
          </w:p>
        </w:tc>
        <w:tc>
          <w:tcPr>
            <w:tcW w:w="451" w:type="pct"/>
            <w:tcBorders>
              <w:top w:val="nil"/>
              <w:left w:val="nil"/>
              <w:bottom w:val="single" w:color="auto" w:sz="4" w:space="0"/>
              <w:right w:val="single" w:color="auto" w:sz="4" w:space="0"/>
            </w:tcBorders>
            <w:shd w:val="clear" w:color="auto" w:fill="auto"/>
            <w:noWrap/>
            <w:vAlign w:val="center"/>
          </w:tcPr>
          <w:p w14:paraId="2530DF8A">
            <w:pPr>
              <w:widowControl/>
              <w:spacing w:line="240" w:lineRule="auto"/>
              <w:ind w:firstLine="0" w:firstLineChars="0"/>
              <w:jc w:val="center"/>
              <w:rPr>
                <w:color w:val="000000"/>
                <w:kern w:val="0"/>
                <w:szCs w:val="21"/>
              </w:rPr>
            </w:pPr>
            <w:r>
              <w:rPr>
                <w:color w:val="00000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5EFC71B8">
            <w:pPr>
              <w:widowControl/>
              <w:spacing w:line="240" w:lineRule="auto"/>
              <w:ind w:firstLine="0" w:firstLineChars="0"/>
              <w:jc w:val="center"/>
              <w:rPr>
                <w:color w:val="000000"/>
                <w:kern w:val="0"/>
                <w:szCs w:val="21"/>
              </w:rPr>
            </w:pPr>
            <w:r>
              <w:rPr>
                <w:color w:val="000000"/>
                <w:szCs w:val="21"/>
              </w:rPr>
              <w:t>/</w:t>
            </w:r>
          </w:p>
        </w:tc>
      </w:tr>
      <w:tr w14:paraId="06AB5A00">
        <w:tblPrEx>
          <w:tblCellMar>
            <w:top w:w="0" w:type="dxa"/>
            <w:left w:w="108" w:type="dxa"/>
            <w:bottom w:w="0" w:type="dxa"/>
            <w:right w:w="108" w:type="dxa"/>
          </w:tblCellMar>
        </w:tblPrEx>
        <w:trPr>
          <w:trHeight w:val="371" w:hRule="atLeast"/>
        </w:trPr>
        <w:tc>
          <w:tcPr>
            <w:tcW w:w="78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CD1A3A">
            <w:pPr>
              <w:widowControl/>
              <w:spacing w:line="240" w:lineRule="auto"/>
              <w:ind w:firstLine="0" w:firstLineChars="0"/>
              <w:jc w:val="left"/>
              <w:rPr>
                <w:color w:val="000000"/>
                <w:kern w:val="0"/>
                <w:szCs w:val="21"/>
              </w:rPr>
            </w:pPr>
          </w:p>
        </w:tc>
        <w:tc>
          <w:tcPr>
            <w:tcW w:w="609" w:type="pct"/>
            <w:tcBorders>
              <w:top w:val="nil"/>
              <w:left w:val="nil"/>
              <w:bottom w:val="single" w:color="auto" w:sz="4" w:space="0"/>
              <w:right w:val="single" w:color="auto" w:sz="4" w:space="0"/>
            </w:tcBorders>
            <w:shd w:val="clear" w:color="auto" w:fill="auto"/>
            <w:noWrap/>
            <w:vAlign w:val="center"/>
          </w:tcPr>
          <w:p w14:paraId="5D73E621">
            <w:pPr>
              <w:widowControl/>
              <w:spacing w:line="240" w:lineRule="auto"/>
              <w:ind w:firstLine="0" w:firstLineChars="0"/>
              <w:jc w:val="center"/>
              <w:rPr>
                <w:color w:val="000000"/>
                <w:kern w:val="0"/>
                <w:szCs w:val="21"/>
              </w:rPr>
            </w:pPr>
            <w:r>
              <w:rPr>
                <w:color w:val="000000"/>
                <w:kern w:val="0"/>
                <w:szCs w:val="21"/>
              </w:rPr>
              <w:t>系数a</w:t>
            </w:r>
          </w:p>
        </w:tc>
        <w:tc>
          <w:tcPr>
            <w:tcW w:w="451" w:type="pct"/>
            <w:tcBorders>
              <w:top w:val="nil"/>
              <w:left w:val="nil"/>
              <w:bottom w:val="single" w:color="auto" w:sz="4" w:space="0"/>
              <w:right w:val="single" w:color="auto" w:sz="4" w:space="0"/>
            </w:tcBorders>
            <w:shd w:val="clear" w:color="auto" w:fill="auto"/>
            <w:noWrap/>
            <w:vAlign w:val="center"/>
          </w:tcPr>
          <w:p w14:paraId="42506FA2">
            <w:pPr>
              <w:widowControl/>
              <w:spacing w:line="240" w:lineRule="auto"/>
              <w:ind w:firstLine="0" w:firstLineChars="0"/>
              <w:jc w:val="center"/>
              <w:rPr>
                <w:color w:val="000000"/>
                <w:kern w:val="0"/>
                <w:szCs w:val="21"/>
              </w:rPr>
            </w:pPr>
            <w:r>
              <w:rPr>
                <w:color w:val="000000"/>
                <w:szCs w:val="21"/>
              </w:rPr>
              <w:t xml:space="preserve">0.41 </w:t>
            </w:r>
          </w:p>
        </w:tc>
        <w:tc>
          <w:tcPr>
            <w:tcW w:w="451" w:type="pct"/>
            <w:tcBorders>
              <w:top w:val="nil"/>
              <w:left w:val="nil"/>
              <w:bottom w:val="single" w:color="auto" w:sz="4" w:space="0"/>
              <w:right w:val="single" w:color="auto" w:sz="4" w:space="0"/>
            </w:tcBorders>
            <w:shd w:val="clear" w:color="auto" w:fill="auto"/>
            <w:noWrap/>
            <w:vAlign w:val="center"/>
          </w:tcPr>
          <w:p w14:paraId="22D7660E">
            <w:pPr>
              <w:widowControl/>
              <w:spacing w:line="240" w:lineRule="auto"/>
              <w:ind w:firstLine="0" w:firstLineChars="0"/>
              <w:jc w:val="center"/>
              <w:rPr>
                <w:color w:val="000000"/>
                <w:kern w:val="0"/>
                <w:szCs w:val="21"/>
              </w:rPr>
            </w:pPr>
            <w:r>
              <w:rPr>
                <w:color w:val="000000"/>
                <w:szCs w:val="21"/>
              </w:rPr>
              <w:t xml:space="preserve">0.38 </w:t>
            </w:r>
          </w:p>
        </w:tc>
        <w:tc>
          <w:tcPr>
            <w:tcW w:w="451" w:type="pct"/>
            <w:tcBorders>
              <w:top w:val="nil"/>
              <w:left w:val="nil"/>
              <w:bottom w:val="single" w:color="auto" w:sz="4" w:space="0"/>
              <w:right w:val="single" w:color="auto" w:sz="4" w:space="0"/>
            </w:tcBorders>
            <w:shd w:val="clear" w:color="auto" w:fill="auto"/>
            <w:noWrap/>
            <w:vAlign w:val="center"/>
          </w:tcPr>
          <w:p w14:paraId="3C72F683">
            <w:pPr>
              <w:widowControl/>
              <w:spacing w:line="240" w:lineRule="auto"/>
              <w:ind w:firstLine="0" w:firstLineChars="0"/>
              <w:jc w:val="center"/>
              <w:rPr>
                <w:color w:val="000000"/>
                <w:kern w:val="0"/>
                <w:szCs w:val="21"/>
              </w:rPr>
            </w:pPr>
            <w:r>
              <w:rPr>
                <w:color w:val="000000"/>
                <w:szCs w:val="21"/>
              </w:rPr>
              <w:t xml:space="preserve">0.44 </w:t>
            </w:r>
          </w:p>
        </w:tc>
        <w:tc>
          <w:tcPr>
            <w:tcW w:w="451" w:type="pct"/>
            <w:tcBorders>
              <w:top w:val="nil"/>
              <w:left w:val="nil"/>
              <w:bottom w:val="single" w:color="auto" w:sz="4" w:space="0"/>
              <w:right w:val="single" w:color="auto" w:sz="4" w:space="0"/>
            </w:tcBorders>
            <w:shd w:val="clear" w:color="auto" w:fill="auto"/>
            <w:noWrap/>
            <w:vAlign w:val="center"/>
          </w:tcPr>
          <w:p w14:paraId="2167C7BF">
            <w:pPr>
              <w:widowControl/>
              <w:spacing w:line="240" w:lineRule="auto"/>
              <w:ind w:firstLine="0" w:firstLineChars="0"/>
              <w:jc w:val="center"/>
              <w:rPr>
                <w:color w:val="000000"/>
                <w:kern w:val="0"/>
                <w:szCs w:val="21"/>
              </w:rPr>
            </w:pPr>
            <w:r>
              <w:rPr>
                <w:color w:val="000000"/>
                <w:szCs w:val="21"/>
              </w:rPr>
              <w:t xml:space="preserve">0.42 </w:t>
            </w:r>
          </w:p>
        </w:tc>
        <w:tc>
          <w:tcPr>
            <w:tcW w:w="451" w:type="pct"/>
            <w:tcBorders>
              <w:top w:val="nil"/>
              <w:left w:val="nil"/>
              <w:bottom w:val="single" w:color="auto" w:sz="4" w:space="0"/>
              <w:right w:val="single" w:color="auto" w:sz="4" w:space="0"/>
            </w:tcBorders>
            <w:shd w:val="clear" w:color="auto" w:fill="auto"/>
            <w:noWrap/>
            <w:vAlign w:val="center"/>
          </w:tcPr>
          <w:p w14:paraId="2566C128">
            <w:pPr>
              <w:widowControl/>
              <w:spacing w:line="240" w:lineRule="auto"/>
              <w:ind w:firstLine="0" w:firstLineChars="0"/>
              <w:jc w:val="center"/>
              <w:rPr>
                <w:color w:val="000000"/>
                <w:kern w:val="0"/>
                <w:szCs w:val="21"/>
              </w:rPr>
            </w:pPr>
            <w:r>
              <w:rPr>
                <w:color w:val="000000"/>
                <w:szCs w:val="21"/>
              </w:rPr>
              <w:t xml:space="preserve">0.49 </w:t>
            </w:r>
          </w:p>
        </w:tc>
        <w:tc>
          <w:tcPr>
            <w:tcW w:w="451" w:type="pct"/>
            <w:tcBorders>
              <w:top w:val="nil"/>
              <w:left w:val="nil"/>
              <w:bottom w:val="single" w:color="auto" w:sz="4" w:space="0"/>
              <w:right w:val="single" w:color="auto" w:sz="4" w:space="0"/>
            </w:tcBorders>
            <w:shd w:val="clear" w:color="auto" w:fill="auto"/>
            <w:noWrap/>
            <w:vAlign w:val="center"/>
          </w:tcPr>
          <w:p w14:paraId="720CDC0B">
            <w:pPr>
              <w:widowControl/>
              <w:spacing w:line="240" w:lineRule="auto"/>
              <w:ind w:firstLine="0" w:firstLineChars="0"/>
              <w:jc w:val="center"/>
              <w:rPr>
                <w:color w:val="000000"/>
                <w:kern w:val="0"/>
                <w:szCs w:val="21"/>
              </w:rPr>
            </w:pPr>
            <w:r>
              <w:rPr>
                <w:color w:val="000000"/>
                <w:szCs w:val="21"/>
              </w:rPr>
              <w:t xml:space="preserve">0.49 </w:t>
            </w:r>
          </w:p>
        </w:tc>
        <w:tc>
          <w:tcPr>
            <w:tcW w:w="451" w:type="pct"/>
            <w:tcBorders>
              <w:top w:val="nil"/>
              <w:left w:val="nil"/>
              <w:bottom w:val="single" w:color="auto" w:sz="4" w:space="0"/>
              <w:right w:val="single" w:color="auto" w:sz="4" w:space="0"/>
            </w:tcBorders>
            <w:shd w:val="clear" w:color="auto" w:fill="auto"/>
            <w:noWrap/>
            <w:vAlign w:val="center"/>
          </w:tcPr>
          <w:p w14:paraId="72627AE5">
            <w:pPr>
              <w:widowControl/>
              <w:spacing w:line="240" w:lineRule="auto"/>
              <w:ind w:firstLine="0" w:firstLineChars="0"/>
              <w:jc w:val="center"/>
              <w:rPr>
                <w:color w:val="000000"/>
                <w:kern w:val="0"/>
                <w:szCs w:val="21"/>
              </w:rPr>
            </w:pPr>
            <w:r>
              <w:rPr>
                <w:color w:val="000000"/>
                <w:szCs w:val="21"/>
              </w:rPr>
              <w:t>/</w:t>
            </w:r>
          </w:p>
        </w:tc>
        <w:tc>
          <w:tcPr>
            <w:tcW w:w="451" w:type="pct"/>
            <w:tcBorders>
              <w:top w:val="nil"/>
              <w:left w:val="nil"/>
              <w:bottom w:val="single" w:color="auto" w:sz="4" w:space="0"/>
              <w:right w:val="single" w:color="auto" w:sz="4" w:space="0"/>
            </w:tcBorders>
            <w:shd w:val="clear" w:color="auto" w:fill="auto"/>
            <w:noWrap/>
            <w:vAlign w:val="center"/>
          </w:tcPr>
          <w:p w14:paraId="4711886B">
            <w:pPr>
              <w:widowControl/>
              <w:spacing w:line="240" w:lineRule="auto"/>
              <w:ind w:firstLine="0" w:firstLineChars="0"/>
              <w:jc w:val="center"/>
              <w:rPr>
                <w:color w:val="000000"/>
                <w:kern w:val="0"/>
                <w:szCs w:val="21"/>
              </w:rPr>
            </w:pPr>
            <w:r>
              <w:rPr>
                <w:color w:val="000000"/>
                <w:szCs w:val="21"/>
              </w:rPr>
              <w:t>/</w:t>
            </w:r>
          </w:p>
        </w:tc>
      </w:tr>
    </w:tbl>
    <w:p w14:paraId="76A85F67">
      <w:pPr>
        <w:spacing w:line="360" w:lineRule="auto"/>
        <w:ind w:firstLine="420"/>
        <w:rPr>
          <w:szCs w:val="20"/>
        </w:rPr>
      </w:pPr>
      <w:r>
        <w:rPr>
          <w:szCs w:val="20"/>
        </w:rPr>
        <w:t>从</w:t>
      </w:r>
      <w:r>
        <w:rPr>
          <w:rFonts w:hint="eastAsia"/>
          <w:szCs w:val="20"/>
        </w:rPr>
        <w:t>表1</w:t>
      </w:r>
      <w:r>
        <w:rPr>
          <w:szCs w:val="20"/>
        </w:rPr>
        <w:t>可以看出，拟合结果相关性系数较高，系数a最大值为0.51，最小值为0.27。对系数a的值进行进一步分析，如</w:t>
      </w:r>
      <w:r>
        <w:rPr>
          <w:rFonts w:hint="eastAsia"/>
          <w:szCs w:val="20"/>
        </w:rPr>
        <w:t>图1</w:t>
      </w:r>
      <w:r>
        <w:rPr>
          <w:szCs w:val="20"/>
        </w:rPr>
        <w:t>所示，系数a取值集中在0.30~0.44之间，达到了41组，即84%。从公式</w:t>
      </w:r>
      <w:r>
        <w:rPr>
          <w:rFonts w:hint="eastAsia"/>
          <w:szCs w:val="20"/>
        </w:rPr>
        <w:t>（1）</w:t>
      </w:r>
      <w:r>
        <w:rPr>
          <w:szCs w:val="20"/>
        </w:rPr>
        <w:t>可知，系数a取值越大，计算得到的</w:t>
      </w:r>
      <w:r>
        <w:rPr>
          <w:rFonts w:hint="eastAsia"/>
          <w:szCs w:val="20"/>
        </w:rPr>
        <w:t>长龄期</w:t>
      </w:r>
      <w:r>
        <w:rPr>
          <w:szCs w:val="20"/>
        </w:rPr>
        <w:t>抗压强度值越大，因此，根据分析结果，建议系数a取为0.3~0.4</w:t>
      </w:r>
      <w:r>
        <w:rPr>
          <w:rFonts w:hint="eastAsia"/>
          <w:szCs w:val="20"/>
        </w:rPr>
        <w:t>，是偏于保守的</w:t>
      </w:r>
      <w:r>
        <w:rPr>
          <w:szCs w:val="20"/>
        </w:rPr>
        <w:t>。</w:t>
      </w:r>
    </w:p>
    <w:p w14:paraId="4D9D5712">
      <w:pPr>
        <w:spacing w:line="360" w:lineRule="auto"/>
        <w:ind w:firstLine="420"/>
        <w:jc w:val="center"/>
      </w:pPr>
      <w:r>
        <w:object>
          <v:shape id="_x0000_i1025" o:spt="75" type="#_x0000_t75" style="height:154.9pt;width:214.9pt;" o:ole="t" filled="f" o:preferrelative="t" stroked="f" coordsize="21600,21600">
            <v:path/>
            <v:fill on="f" focussize="0,0"/>
            <v:stroke on="f" joinstyle="miter"/>
            <v:imagedata r:id="rId18" cropright="2668f" cropbottom="1179f" o:title=""/>
            <o:lock v:ext="edit" aspectratio="t"/>
            <w10:wrap type="none"/>
            <w10:anchorlock/>
          </v:shape>
          <o:OLEObject Type="Embed" ProgID="Origin50.Graph" ShapeID="_x0000_i1025" DrawAspect="Content" ObjectID="_1468075725" r:id="rId17">
            <o:LockedField>false</o:LockedField>
          </o:OLEObject>
        </w:object>
      </w:r>
    </w:p>
    <w:p w14:paraId="73C5E3A4">
      <w:pPr>
        <w:spacing w:line="360" w:lineRule="auto"/>
        <w:ind w:firstLine="422"/>
        <w:jc w:val="center"/>
        <w:rPr>
          <w:b/>
          <w:bCs/>
          <w:color w:val="0D0D0D" w:themeColor="text1" w:themeTint="F2"/>
          <w:szCs w:val="24"/>
          <w14:textFill>
            <w14:solidFill>
              <w14:schemeClr w14:val="tx1">
                <w14:lumMod w14:val="95000"/>
                <w14:lumOff w14:val="5000"/>
              </w14:schemeClr>
            </w14:solidFill>
          </w14:textFill>
        </w:rPr>
      </w:pPr>
      <w:bookmarkStart w:id="57" w:name="_Ref525563657"/>
      <w:r>
        <w:rPr>
          <w:rFonts w:hint="eastAsia"/>
          <w:b/>
          <w:bCs/>
          <w:szCs w:val="21"/>
        </w:rPr>
        <w:t>图1</w:t>
      </w:r>
      <w:r>
        <w:rPr>
          <w:b/>
          <w:bCs/>
          <w:szCs w:val="21"/>
        </w:rPr>
        <w:t>拟合得到系数a的分布情况</w:t>
      </w:r>
      <w:bookmarkEnd w:id="57"/>
    </w:p>
    <w:p w14:paraId="4C61E7F3">
      <w:pPr>
        <w:spacing w:line="360" w:lineRule="auto"/>
        <w:ind w:firstLine="422"/>
        <w:rPr>
          <w:b/>
          <w:bCs/>
          <w:color w:val="0D0D0D" w:themeColor="text1" w:themeTint="F2"/>
          <w:szCs w:val="24"/>
          <w14:textFill>
            <w14:solidFill>
              <w14:schemeClr w14:val="tx1">
                <w14:lumMod w14:val="95000"/>
                <w14:lumOff w14:val="5000"/>
              </w14:schemeClr>
            </w14:solidFill>
          </w14:textFill>
        </w:rPr>
      </w:pPr>
      <w:r>
        <w:rPr>
          <w:rFonts w:hint="eastAsia"/>
          <w:b/>
          <w:bCs/>
          <w:color w:val="0D0D0D" w:themeColor="text1" w:themeTint="F2"/>
          <w:szCs w:val="24"/>
          <w14:textFill>
            <w14:solidFill>
              <w14:schemeClr w14:val="tx1">
                <w14:lumMod w14:val="95000"/>
                <w14:lumOff w14:val="5000"/>
              </w14:schemeClr>
            </w14:solidFill>
          </w14:textFill>
        </w:rPr>
        <w:t>3</w:t>
      </w:r>
      <w:r>
        <w:rPr>
          <w:b/>
          <w:bCs/>
          <w:color w:val="0D0D0D" w:themeColor="text1" w:themeTint="F2"/>
          <w:szCs w:val="24"/>
          <w14:textFill>
            <w14:solidFill>
              <w14:schemeClr w14:val="tx1">
                <w14:lumMod w14:val="95000"/>
                <w14:lumOff w14:val="5000"/>
              </w14:schemeClr>
            </w14:solidFill>
          </w14:textFill>
        </w:rPr>
        <w:t>.0.3</w:t>
      </w:r>
    </w:p>
    <w:p w14:paraId="13CA3051">
      <w:pPr>
        <w:spacing w:line="360" w:lineRule="auto"/>
        <w:ind w:firstLine="420"/>
        <w:rPr>
          <w:color w:val="0D0D0D" w:themeColor="text1" w:themeTint="F2"/>
          <w:szCs w:val="24"/>
          <w14:textFill>
            <w14:solidFill>
              <w14:schemeClr w14:val="tx1">
                <w14:lumMod w14:val="95000"/>
                <w14:lumOff w14:val="5000"/>
              </w14:schemeClr>
            </w14:solidFill>
          </w14:textFill>
        </w:rPr>
      </w:pPr>
      <w:r>
        <w:rPr>
          <w:color w:val="0D0D0D" w:themeColor="text1" w:themeTint="F2"/>
          <w:szCs w:val="24"/>
          <w14:textFill>
            <w14:solidFill>
              <w14:schemeClr w14:val="tx1">
                <w14:lumMod w14:val="95000"/>
                <w14:lumOff w14:val="5000"/>
              </w14:schemeClr>
            </w14:solidFill>
          </w14:textFill>
        </w:rPr>
        <w:t>《水工混凝土试验规程》（SL 352-2006）规定，混凝土配合比设计要求采用绝对体积法计算各组成材料用量。对胶结砂砾石，由于砂砾石的特性，配合比计算除体积法外，还可采用假定容重法。</w:t>
      </w:r>
    </w:p>
    <w:p w14:paraId="48F4041F">
      <w:pPr>
        <w:spacing w:line="360" w:lineRule="auto"/>
        <w:ind w:firstLine="420"/>
        <w:rPr>
          <w:color w:val="0D0D0D" w:themeColor="text1" w:themeTint="F2"/>
          <w:szCs w:val="24"/>
          <w14:textFill>
            <w14:solidFill>
              <w14:schemeClr w14:val="tx1">
                <w14:lumMod w14:val="95000"/>
                <w14:lumOff w14:val="5000"/>
              </w14:schemeClr>
            </w14:solidFill>
          </w14:textFill>
        </w:rPr>
      </w:pPr>
    </w:p>
    <w:bookmarkEnd w:id="48"/>
    <w:bookmarkEnd w:id="49"/>
    <w:bookmarkEnd w:id="50"/>
    <w:bookmarkEnd w:id="51"/>
    <w:p w14:paraId="4816C127">
      <w:pPr>
        <w:pStyle w:val="2"/>
        <w:spacing w:before="156" w:after="156"/>
        <w:ind w:firstLine="0" w:firstLineChars="0"/>
        <w:rPr>
          <w:color w:val="0D0D0D" w:themeColor="text1" w:themeTint="F2"/>
          <w14:textFill>
            <w14:solidFill>
              <w14:schemeClr w14:val="tx1">
                <w14:lumMod w14:val="95000"/>
                <w14:lumOff w14:val="5000"/>
              </w14:schemeClr>
            </w14:solidFill>
          </w14:textFill>
        </w:rPr>
      </w:pPr>
      <w:bookmarkStart w:id="58" w:name="_Toc199246899"/>
      <w:bookmarkStart w:id="59" w:name="_Toc199247356"/>
      <w:r>
        <w:rPr>
          <w:color w:val="0D0D0D" w:themeColor="text1" w:themeTint="F2"/>
          <w14:textFill>
            <w14:solidFill>
              <w14:schemeClr w14:val="tx1">
                <w14:lumMod w14:val="95000"/>
                <w14:lumOff w14:val="5000"/>
              </w14:schemeClr>
            </w14:solidFill>
          </w14:textFill>
        </w:rPr>
        <w:t>4 配制强度的确定</w:t>
      </w:r>
      <w:bookmarkEnd w:id="58"/>
      <w:bookmarkEnd w:id="59"/>
    </w:p>
    <w:bookmarkEnd w:id="52"/>
    <w:p w14:paraId="51882D98">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4</w:t>
      </w:r>
      <w:r>
        <w:rPr>
          <w:b/>
          <w:color w:val="0D0D0D" w:themeColor="text1" w:themeTint="F2"/>
          <w:szCs w:val="21"/>
          <w14:textFill>
            <w14:solidFill>
              <w14:schemeClr w14:val="tx1">
                <w14:lumMod w14:val="95000"/>
                <w14:lumOff w14:val="5000"/>
              </w14:schemeClr>
            </w14:solidFill>
          </w14:textFill>
        </w:rPr>
        <w:t>.0.1</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混凝土坝结构强度计算多采用许用应力法，根据建筑物的结构特征，由规范确定其安全系数。因胶结砂砾石坝采用最大骨料粒径较大，为150mm，而试验检验胶结砂砾石抗压强度采用湿筛胶结砂砾石，由原级配大骨料胶结砂砾石筛除大于粒径40mm以上骨料后剩余的胶结砂砾石。因此，两者存在着差异，即湿筛胶结砂砾石抗压强度比原级配胶结砂砾石抗压强度高；另外，胶结砂砾石生产、浇筑过程中人为因素也会造成强度安全系数折损。</w:t>
      </w:r>
      <w:r>
        <w:rPr>
          <w:rFonts w:hint="eastAsia"/>
          <w:color w:val="0D0D0D" w:themeColor="text1" w:themeTint="F2"/>
          <w:szCs w:val="21"/>
          <w14:textFill>
            <w14:solidFill>
              <w14:schemeClr w14:val="tx1">
                <w14:lumMod w14:val="95000"/>
                <w14:lumOff w14:val="5000"/>
              </w14:schemeClr>
            </w14:solidFill>
          </w14:textFill>
        </w:rPr>
        <w:t>有条件时，宜进行450mm立方体试件胶结砂砾石抗压强度试验，得出不同龄期的450mm立方体与150mm立方体抗压强度的比尺效应系数及强度增长率。大试件设计龄期抗压强度低于标准立方体试件的50%时，设计抗压强度标准值应做进一步论证。</w:t>
      </w:r>
    </w:p>
    <w:p w14:paraId="4E9BE2F0">
      <w:pPr>
        <w:spacing w:line="360" w:lineRule="auto"/>
        <w:ind w:firstLine="0" w:firstLineChars="0"/>
        <w:rPr>
          <w:color w:val="0D0D0D" w:themeColor="text1" w:themeTint="F2"/>
          <w:szCs w:val="24"/>
          <w14:textFill>
            <w14:solidFill>
              <w14:schemeClr w14:val="tx1">
                <w14:lumMod w14:val="95000"/>
                <w14:lumOff w14:val="5000"/>
              </w14:schemeClr>
            </w14:solidFill>
          </w14:textFill>
        </w:rPr>
      </w:pPr>
      <w:r>
        <w:rPr>
          <w:b/>
          <w:color w:val="0D0D0D" w:themeColor="text1" w:themeTint="F2"/>
          <w:szCs w:val="24"/>
          <w14:textFill>
            <w14:solidFill>
              <w14:schemeClr w14:val="tx1">
                <w14:lumMod w14:val="95000"/>
                <w14:lumOff w14:val="5000"/>
              </w14:schemeClr>
            </w14:solidFill>
          </w14:textFill>
        </w:rPr>
        <w:t>4.0.2</w:t>
      </w:r>
      <w:r>
        <w:rPr>
          <w:color w:val="0D0D0D" w:themeColor="text1" w:themeTint="F2"/>
          <w:szCs w:val="24"/>
          <w14:textFill>
            <w14:solidFill>
              <w14:schemeClr w14:val="tx1">
                <w14:lumMod w14:val="95000"/>
                <w14:lumOff w14:val="5000"/>
              </w14:schemeClr>
            </w14:solidFill>
          </w14:textFill>
        </w:rPr>
        <w:t xml:space="preserve"> </w:t>
      </w:r>
      <w:r>
        <w:rPr>
          <w:rFonts w:hint="eastAsia"/>
          <w:color w:val="0D0D0D" w:themeColor="text1" w:themeTint="F2"/>
          <w:szCs w:val="24"/>
          <w14:textFill>
            <w14:solidFill>
              <w14:schemeClr w14:val="tx1">
                <w14:lumMod w14:val="95000"/>
                <w14:lumOff w14:val="5000"/>
              </w14:schemeClr>
            </w14:solidFill>
          </w14:textFill>
        </w:rPr>
        <w:t xml:space="preserve"> </w:t>
      </w:r>
      <w:r>
        <w:rPr>
          <w:color w:val="0D0D0D" w:themeColor="text1" w:themeTint="F2"/>
          <w:szCs w:val="24"/>
          <w14:textFill>
            <w14:solidFill>
              <w14:schemeClr w14:val="tx1">
                <w14:lumMod w14:val="95000"/>
                <w14:lumOff w14:val="5000"/>
              </w14:schemeClr>
            </w14:solidFill>
          </w14:textFill>
        </w:rPr>
        <w:t>胶结砂砾石所用的砂砾石料仅剔除150mm以上的最大骨料，不筛分、不水洗，因此胶结砂砾石强度离散性较大，不同工程由于料源级配的差异引起的强度离散性各不相同，在没有胶结砂砾石强度资料时，σ值可暂按变异系数0.40取值，施工中应根据施工时段强度的统计结果，调整σ值，进行动态控制。其中C</w:t>
      </w:r>
      <w:r>
        <w:rPr>
          <w:color w:val="0D0D0D" w:themeColor="text1" w:themeTint="F2"/>
          <w:szCs w:val="24"/>
          <w:vertAlign w:val="subscript"/>
          <w14:textFill>
            <w14:solidFill>
              <w14:schemeClr w14:val="tx1">
                <w14:lumMod w14:val="95000"/>
                <w14:lumOff w14:val="5000"/>
              </w14:schemeClr>
            </w14:solidFill>
          </w14:textFill>
        </w:rPr>
        <w:t>180</w:t>
      </w:r>
      <w:r>
        <w:rPr>
          <w:color w:val="0D0D0D" w:themeColor="text1" w:themeTint="F2"/>
          <w:szCs w:val="24"/>
          <w14:textFill>
            <w14:solidFill>
              <w14:schemeClr w14:val="tx1">
                <w14:lumMod w14:val="95000"/>
                <w14:lumOff w14:val="5000"/>
              </w14:schemeClr>
            </w14:solidFill>
          </w14:textFill>
        </w:rPr>
        <w:t>15和C</w:t>
      </w:r>
      <w:r>
        <w:rPr>
          <w:color w:val="0D0D0D" w:themeColor="text1" w:themeTint="F2"/>
          <w:szCs w:val="24"/>
          <w:vertAlign w:val="subscript"/>
          <w14:textFill>
            <w14:solidFill>
              <w14:schemeClr w14:val="tx1">
                <w14:lumMod w14:val="95000"/>
                <w14:lumOff w14:val="5000"/>
              </w14:schemeClr>
            </w14:solidFill>
          </w14:textFill>
        </w:rPr>
        <w:t>180</w:t>
      </w:r>
      <w:r>
        <w:rPr>
          <w:color w:val="0D0D0D" w:themeColor="text1" w:themeTint="F2"/>
          <w:szCs w:val="24"/>
          <w14:textFill>
            <w14:solidFill>
              <w14:schemeClr w14:val="tx1">
                <w14:lumMod w14:val="95000"/>
                <w14:lumOff w14:val="5000"/>
              </w14:schemeClr>
            </w14:solidFill>
          </w14:textFill>
        </w:rPr>
        <w:t>20为富浆胶结砂砾石，其余为普通胶结砂砾石。</w:t>
      </w:r>
    </w:p>
    <w:p w14:paraId="64072105">
      <w:pPr>
        <w:pStyle w:val="2"/>
        <w:spacing w:before="156" w:after="156"/>
        <w:ind w:firstLine="562"/>
        <w:rPr>
          <w:i/>
          <w:color w:val="0D0D0D" w:themeColor="text1" w:themeTint="F2"/>
          <w14:textFill>
            <w14:solidFill>
              <w14:schemeClr w14:val="tx1">
                <w14:lumMod w14:val="95000"/>
                <w14:lumOff w14:val="5000"/>
              </w14:schemeClr>
            </w14:solidFill>
          </w14:textFill>
        </w:rPr>
      </w:pPr>
      <w:bookmarkStart w:id="60" w:name="_Toc64725205"/>
      <w:bookmarkStart w:id="61" w:name="_Toc63606221"/>
      <w:bookmarkStart w:id="62" w:name="_Toc62293785"/>
      <w:bookmarkStart w:id="63" w:name="_Toc63605889"/>
      <w:bookmarkStart w:id="64" w:name="_Toc199246900"/>
      <w:bookmarkStart w:id="65" w:name="_Toc199247357"/>
      <w:bookmarkStart w:id="66" w:name="_Toc61016906"/>
      <w:r>
        <w:rPr>
          <w:color w:val="0D0D0D" w:themeColor="text1" w:themeTint="F2"/>
          <w14:textFill>
            <w14:solidFill>
              <w14:schemeClr w14:val="tx1">
                <w14:lumMod w14:val="95000"/>
                <w14:lumOff w14:val="5000"/>
              </w14:schemeClr>
            </w14:solidFill>
          </w14:textFill>
        </w:rPr>
        <w:t xml:space="preserve">5 </w:t>
      </w:r>
      <w:bookmarkEnd w:id="60"/>
      <w:bookmarkEnd w:id="61"/>
      <w:bookmarkEnd w:id="62"/>
      <w:bookmarkEnd w:id="63"/>
      <w:r>
        <w:rPr>
          <w:color w:val="0D0D0D" w:themeColor="text1" w:themeTint="F2"/>
          <w14:textFill>
            <w14:solidFill>
              <w14:schemeClr w14:val="tx1">
                <w14:lumMod w14:val="95000"/>
                <w14:lumOff w14:val="5000"/>
              </w14:schemeClr>
            </w14:solidFill>
          </w14:textFill>
        </w:rPr>
        <w:t>配合比的计算</w:t>
      </w:r>
      <w:bookmarkEnd w:id="64"/>
      <w:bookmarkEnd w:id="65"/>
    </w:p>
    <w:p w14:paraId="6A798978">
      <w:pPr>
        <w:spacing w:line="360" w:lineRule="auto"/>
        <w:ind w:firstLine="0" w:firstLineChars="0"/>
        <w:rPr>
          <w:b/>
          <w:color w:val="0D0D0D" w:themeColor="text1" w:themeTint="F2"/>
          <w:szCs w:val="24"/>
          <w14:textFill>
            <w14:solidFill>
              <w14:schemeClr w14:val="tx1">
                <w14:lumMod w14:val="95000"/>
                <w14:lumOff w14:val="5000"/>
              </w14:schemeClr>
            </w14:solidFill>
          </w14:textFill>
        </w:rPr>
      </w:pPr>
      <w:r>
        <w:rPr>
          <w:rFonts w:hint="eastAsia"/>
          <w:b/>
          <w:color w:val="0D0D0D" w:themeColor="text1" w:themeTint="F2"/>
          <w:szCs w:val="24"/>
          <w14:textFill>
            <w14:solidFill>
              <w14:schemeClr w14:val="tx1">
                <w14:lumMod w14:val="95000"/>
                <w14:lumOff w14:val="5000"/>
              </w14:schemeClr>
            </w14:solidFill>
          </w14:textFill>
        </w:rPr>
        <w:t>5</w:t>
      </w:r>
      <w:r>
        <w:rPr>
          <w:b/>
          <w:color w:val="0D0D0D" w:themeColor="text1" w:themeTint="F2"/>
          <w:szCs w:val="24"/>
          <w14:textFill>
            <w14:solidFill>
              <w14:schemeClr w14:val="tx1">
                <w14:lumMod w14:val="95000"/>
                <w14:lumOff w14:val="5000"/>
              </w14:schemeClr>
            </w14:solidFill>
          </w14:textFill>
        </w:rPr>
        <w:t>.0.2</w:t>
      </w:r>
    </w:p>
    <w:p w14:paraId="6D62BD51">
      <w:pPr>
        <w:spacing w:line="360" w:lineRule="auto"/>
        <w:ind w:firstLine="422"/>
        <w:rPr>
          <w:color w:val="0D0D0D" w:themeColor="text1" w:themeTint="F2"/>
          <w:szCs w:val="24"/>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砂砾石毛料，仅需剔除或破碎超径颗粒，原则上不需要分类、分级，即使在同一地点，砂砾石级配的分布也很不均匀，即使在胶凝材料用量固定的情况下，由于级配变化带来用水量的变化也将导致胶结砂砾石强度的变异。为了应对这一问题，胶结砂砾石配合比的设计应按本规程规定的方法进行，无法采用常规混凝土配合比设计方法。砂砾石料场勘探和取样试验工作尤为重要，首先对现场砂砾石毛料粒径进行筛分试验，得到砂砾石材料最粗级配、最细级配及平均级配情况。由此，料场砂砾石材料级配将分布在最粗和最细粒径范围内。</w:t>
      </w:r>
    </w:p>
    <w:p w14:paraId="60289E4B">
      <w:pPr>
        <w:spacing w:line="360" w:lineRule="auto"/>
        <w:ind w:firstLine="422"/>
        <w:rPr>
          <w:color w:val="0D0D0D" w:themeColor="text1" w:themeTint="F2"/>
          <w:szCs w:val="24"/>
          <w14:textFill>
            <w14:solidFill>
              <w14:schemeClr w14:val="tx1">
                <w14:lumMod w14:val="95000"/>
                <w14:lumOff w14:val="5000"/>
              </w14:schemeClr>
            </w14:solidFill>
          </w14:textFill>
        </w:rPr>
      </w:pPr>
      <w:r>
        <w:rPr>
          <w:rFonts w:hint="eastAsia"/>
          <w:b/>
          <w:bCs/>
          <w:color w:val="0D0D0D" w:themeColor="text1" w:themeTint="F2"/>
          <w:szCs w:val="24"/>
          <w14:textFill>
            <w14:solidFill>
              <w14:schemeClr w14:val="tx1">
                <w14:lumMod w14:val="95000"/>
                <w14:lumOff w14:val="5000"/>
              </w14:schemeClr>
            </w14:solidFill>
          </w14:textFill>
        </w:rPr>
        <w:t>3</w:t>
      </w:r>
      <w:r>
        <w:rPr>
          <w:color w:val="0D0D0D" w:themeColor="text1" w:themeTint="F2"/>
          <w:szCs w:val="24"/>
          <w14:textFill>
            <w14:solidFill>
              <w14:schemeClr w14:val="tx1">
                <w14:lumMod w14:val="95000"/>
                <w14:lumOff w14:val="5000"/>
              </w14:schemeClr>
            </w14:solidFill>
          </w14:textFill>
        </w:rPr>
        <w:t xml:space="preserve"> </w:t>
      </w:r>
      <w:r>
        <w:rPr>
          <w:rFonts w:hint="eastAsia"/>
          <w:color w:val="0D0D0D" w:themeColor="text1" w:themeTint="F2"/>
          <w:szCs w:val="24"/>
          <w14:textFill>
            <w14:solidFill>
              <w14:schemeClr w14:val="tx1">
                <w14:lumMod w14:val="95000"/>
                <w14:lumOff w14:val="5000"/>
              </w14:schemeClr>
            </w14:solidFill>
          </w14:textFill>
        </w:rPr>
        <w:t xml:space="preserve"> </w:t>
      </w:r>
      <w:r>
        <w:rPr>
          <w:color w:val="0D0D0D" w:themeColor="text1" w:themeTint="F2"/>
          <w:szCs w:val="24"/>
          <w14:textFill>
            <w14:solidFill>
              <w14:schemeClr w14:val="tx1">
                <w14:lumMod w14:val="95000"/>
                <w14:lumOff w14:val="5000"/>
              </w14:schemeClr>
            </w14:solidFill>
          </w14:textFill>
        </w:rPr>
        <w:t>胶结砂砾石包括配合比设计方法明显不同于传统混凝土。后者的配合比设计方法是要通过优选砂率和骨料级配这一步骤的，同时用水量相对固定，为“点”控制。胶结砂砾石的原材料来自于工程现场，砂砾石料仅仅要求剔除一定大粒径而不需要筛分，因此砂率和骨料级配等已固定，无法进行优选等工作，只能通过调整胶凝材料用量并最终固定一个胶材用量和控制用水量“带”这两种途径以满足工程设计强度的要求。配合比的计算主要目的是得出可参考的胶凝材料用量和用水量，以便选择3~5个胶凝材料用量进行配合比试验。</w:t>
      </w:r>
    </w:p>
    <w:p w14:paraId="77DD382D">
      <w:pPr>
        <w:spacing w:line="360" w:lineRule="auto"/>
        <w:ind w:firstLine="0" w:firstLineChars="0"/>
        <w:rPr>
          <w:b/>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5</w:t>
      </w:r>
      <w:r>
        <w:rPr>
          <w:b/>
          <w:color w:val="0D0D0D" w:themeColor="text1" w:themeTint="F2"/>
          <w:szCs w:val="21"/>
          <w14:textFill>
            <w14:solidFill>
              <w14:schemeClr w14:val="tx1">
                <w14:lumMod w14:val="95000"/>
                <w14:lumOff w14:val="5000"/>
              </w14:schemeClr>
            </w14:solidFill>
          </w14:textFill>
        </w:rPr>
        <w:t>.0.3</w:t>
      </w:r>
    </w:p>
    <w:p w14:paraId="7CC11041">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1</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试验研究及施工实践表明，当胶凝材料用量低于80kg/m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时，胶结砂砾石的浆砂比明显降低，可碾性、液化泛浆及层间结合等施工性能较差，对硬化后的胶结砂砾石性能影响较大。另外，由于不同品种水泥其熟料含量相差较大，加之胶结砂砾石中胶凝材料用量又较少，因此本条款不仅规定了最低胶凝材料用量，而且也规定了最低水泥熟料用量，临时工程可不受此限制。根据GB175-20</w:t>
      </w:r>
      <w:r>
        <w:rPr>
          <w:rFonts w:hint="eastAsia"/>
          <w:color w:val="0D0D0D" w:themeColor="text1" w:themeTint="F2"/>
          <w:szCs w:val="21"/>
          <w14:textFill>
            <w14:solidFill>
              <w14:schemeClr w14:val="tx1">
                <w14:lumMod w14:val="95000"/>
                <w14:lumOff w14:val="5000"/>
              </w14:schemeClr>
            </w14:solidFill>
          </w14:textFill>
        </w:rPr>
        <w:t>23</w:t>
      </w:r>
      <w:r>
        <w:rPr>
          <w:color w:val="0D0D0D" w:themeColor="text1" w:themeTint="F2"/>
          <w:szCs w:val="21"/>
          <w14:textFill>
            <w14:solidFill>
              <w14:schemeClr w14:val="tx1">
                <w14:lumMod w14:val="95000"/>
                <w14:lumOff w14:val="5000"/>
              </w14:schemeClr>
            </w14:solidFill>
          </w14:textFill>
        </w:rPr>
        <w:t>规定，普通硅酸盐水泥中，熟料加石膏含量不少于80%，因此其最低水泥用量可取40kg/m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；其他品种水泥依此类推，其最低水泥用量分别可取为：粉煤灰硅酸盐水泥、火山灰质硅酸盐水泥为55kg/m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；复合硅酸盐水泥为65kg/m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；矿渣硅酸盐水泥P.S.A型为65kg/m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、P.S.B型可取80～100kg/m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。《贫胶渣砾料碾压混凝土施工导则》（DL/T 5253-2011）中规定：胶凝材料用量不宜低于70kg/m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，水泥熟料用量正文中未作规定，条文说明中规定水泥熟料用量不宜低于35kg/m</w:t>
      </w:r>
      <w:r>
        <w:rPr>
          <w:color w:val="0D0D0D" w:themeColor="text1" w:themeTint="F2"/>
          <w:szCs w:val="21"/>
          <w:vertAlign w:val="superscript"/>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w:t>
      </w:r>
    </w:p>
    <w:p w14:paraId="15997BD6">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4</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本条款给出了砂率的适宜范围，超出此范围时通过增加胶凝材料用量、或通过掺配砂料或石料调整后仍可使用，具体调整措施应通过试验及经济性比较后确定。</w:t>
      </w:r>
    </w:p>
    <w:p w14:paraId="183EF187">
      <w:pPr>
        <w:spacing w:line="360" w:lineRule="auto"/>
        <w:ind w:firstLine="422"/>
        <w:rPr>
          <w:color w:val="0D0D0D" w:themeColor="text1" w:themeTint="F2"/>
          <w:szCs w:val="21"/>
          <w14:textFill>
            <w14:solidFill>
              <w14:schemeClr w14:val="tx1">
                <w14:lumMod w14:val="95000"/>
                <w14:lumOff w14:val="5000"/>
              </w14:schemeClr>
            </w14:solidFill>
          </w14:textFill>
        </w:rPr>
      </w:pPr>
      <w:r>
        <w:rPr>
          <w:rFonts w:hint="eastAsia"/>
          <w:b/>
          <w:bCs/>
          <w:color w:val="0D0D0D" w:themeColor="text1" w:themeTint="F2"/>
          <w:szCs w:val="21"/>
          <w14:textFill>
            <w14:solidFill>
              <w14:schemeClr w14:val="tx1">
                <w14:lumMod w14:val="95000"/>
                <w14:lumOff w14:val="5000"/>
              </w14:schemeClr>
            </w14:solidFill>
          </w14:textFill>
        </w:rPr>
        <w:t>5</w:t>
      </w:r>
      <w:r>
        <w:rPr>
          <w:color w:val="0D0D0D" w:themeColor="text1" w:themeTint="F2"/>
          <w:szCs w:val="21"/>
          <w14:textFill>
            <w14:solidFill>
              <w14:schemeClr w14:val="tx1">
                <w14:lumMod w14:val="95000"/>
                <w14:lumOff w14:val="5000"/>
              </w14:schemeClr>
            </w14:solidFill>
          </w14:textFill>
        </w:rPr>
        <w:t xml:space="preserve"> </w:t>
      </w:r>
      <w:r>
        <w:rPr>
          <w:rFonts w:hint="eastAsia"/>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按最粗级配、最细级配和平均级配的砂砾石比例，根据水胶比，在较宽范围内选取几个用水量进行强度试验，得到胶结砂砾石用水量与强度的关系。对不同级配的砂砾石，在某一区域内由于用水量过低、浆体少，胶结砂砾石无法碾压或振捣密实从而获得充分的强度。相反，如果用水量过多，不仅强度降低，施工工作性也将变差。可见胶结砂砾石具有一个适宜的用水量范围，以及一个与之相对应的适宜的强度分布范围，即施工中配合比控制范围，允许用水量在控制范围内浮动。不同于混凝土强度由级配和用水量固定的点控制方式，胶结砂砾石强度是由面控制或边界控制，用水量与强度随着级配而变化。因此，由于砂砾石级配的波动性，建立不同级配下胶结砂砾石强度与用水量的关系非常重要。</w:t>
      </w:r>
    </w:p>
    <w:p w14:paraId="18A872F2">
      <w:pPr>
        <w:spacing w:line="360" w:lineRule="auto"/>
        <w:ind w:firstLine="420"/>
        <w:rPr>
          <w:color w:val="0D0D0D" w:themeColor="text1" w:themeTint="F2"/>
          <w:szCs w:val="21"/>
          <w14:textFill>
            <w14:solidFill>
              <w14:schemeClr w14:val="tx1">
                <w14:lumMod w14:val="95000"/>
                <w14:lumOff w14:val="5000"/>
              </w14:schemeClr>
            </w14:solidFill>
          </w14:textFill>
        </w:rPr>
      </w:pPr>
      <w:r>
        <w:rPr>
          <w:rFonts w:hint="eastAsia"/>
          <w:color w:val="0D0D0D" w:themeColor="text1" w:themeTint="F2"/>
          <w:szCs w:val="21"/>
          <w14:textFill>
            <w14:solidFill>
              <w14:schemeClr w14:val="tx1">
                <w14:lumMod w14:val="95000"/>
                <w14:lumOff w14:val="5000"/>
              </w14:schemeClr>
            </w14:solidFill>
          </w14:textFill>
        </w:rPr>
        <w:t>《胶结颗粒料筑坝技术导则》（SL 678）中规定水胶比宜控制在0.7~1.3。本规程进一步进行了试验数据的统计分析工作，根据工程及试验资料，水胶比宜控制在0.4～1.5，具体可查看图3。</w:t>
      </w:r>
    </w:p>
    <w:p w14:paraId="2B06CD16">
      <w:pPr>
        <w:spacing w:line="360" w:lineRule="auto"/>
        <w:ind w:firstLine="420"/>
        <w:rPr>
          <w:bCs/>
          <w:color w:val="0D0D0D" w:themeColor="text1" w:themeTint="F2"/>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表</w:t>
      </w:r>
      <w:r>
        <w:rPr>
          <w:rFonts w:hint="eastAsia"/>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为部分国内胶结砂砾石围堰工程和永久工程的配合比，供参考。</w:t>
      </w:r>
    </w:p>
    <w:p w14:paraId="3EF681E9">
      <w:pPr>
        <w:pStyle w:val="50"/>
        <w:tabs>
          <w:tab w:val="clear" w:pos="547"/>
          <w:tab w:val="clear" w:pos="1080"/>
        </w:tabs>
        <w:spacing w:after="156" w:afterLines="50"/>
        <w:ind w:firstLine="422"/>
        <w:rPr>
          <w:rFonts w:eastAsia="黑体"/>
          <w:b w:val="0"/>
          <w:color w:val="0D0D0D" w:themeColor="text1" w:themeTint="F2"/>
          <w:szCs w:val="21"/>
          <w14:textFill>
            <w14:solidFill>
              <w14:schemeClr w14:val="tx1">
                <w14:lumMod w14:val="95000"/>
                <w14:lumOff w14:val="5000"/>
              </w14:schemeClr>
            </w14:solidFill>
          </w14:textFill>
        </w:rPr>
      </w:pPr>
      <w:r>
        <w:rPr>
          <w:rFonts w:eastAsia="黑体"/>
          <w:b w:val="0"/>
          <w:color w:val="0D0D0D" w:themeColor="text1" w:themeTint="F2"/>
          <w:szCs w:val="21"/>
          <w14:textFill>
            <w14:solidFill>
              <w14:schemeClr w14:val="tx1">
                <w14:lumMod w14:val="95000"/>
                <w14:lumOff w14:val="5000"/>
              </w14:schemeClr>
            </w14:solidFill>
          </w14:textFill>
        </w:rPr>
        <w:t>表</w:t>
      </w:r>
      <w:r>
        <w:rPr>
          <w:rFonts w:hint="eastAsia" w:eastAsia="黑体"/>
          <w:b w:val="0"/>
          <w:color w:val="0D0D0D" w:themeColor="text1" w:themeTint="F2"/>
          <w:szCs w:val="21"/>
          <w14:textFill>
            <w14:solidFill>
              <w14:schemeClr w14:val="tx1">
                <w14:lumMod w14:val="95000"/>
                <w14:lumOff w14:val="5000"/>
              </w14:schemeClr>
            </w14:solidFill>
          </w14:textFill>
        </w:rPr>
        <w:t>2</w:t>
      </w:r>
      <w:r>
        <w:rPr>
          <w:rFonts w:eastAsia="黑体"/>
          <w:b w:val="0"/>
          <w:color w:val="0D0D0D" w:themeColor="text1" w:themeTint="F2"/>
          <w:szCs w:val="21"/>
          <w14:textFill>
            <w14:solidFill>
              <w14:schemeClr w14:val="tx1">
                <w14:lumMod w14:val="95000"/>
                <w14:lumOff w14:val="5000"/>
              </w14:schemeClr>
            </w14:solidFill>
          </w14:textFill>
        </w:rPr>
        <w:t xml:space="preserve"> 国内几个典型胶结砂砾石工程配合比</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4"/>
        <w:gridCol w:w="2438"/>
        <w:gridCol w:w="745"/>
        <w:gridCol w:w="635"/>
        <w:gridCol w:w="564"/>
        <w:gridCol w:w="705"/>
        <w:gridCol w:w="649"/>
        <w:gridCol w:w="719"/>
        <w:gridCol w:w="847"/>
      </w:tblGrid>
      <w:tr w14:paraId="790C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jc w:val="center"/>
        </w:trPr>
        <w:tc>
          <w:tcPr>
            <w:tcW w:w="610" w:type="pct"/>
            <w:vMerge w:val="restart"/>
            <w:vAlign w:val="center"/>
          </w:tcPr>
          <w:p w14:paraId="11E294F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工程</w:t>
            </w:r>
          </w:p>
          <w:p w14:paraId="3C79D95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名称</w:t>
            </w:r>
          </w:p>
        </w:tc>
        <w:tc>
          <w:tcPr>
            <w:tcW w:w="1466" w:type="pct"/>
            <w:vMerge w:val="restart"/>
            <w:vAlign w:val="center"/>
          </w:tcPr>
          <w:p w14:paraId="2992CF7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设计强度</w:t>
            </w:r>
          </w:p>
        </w:tc>
        <w:tc>
          <w:tcPr>
            <w:tcW w:w="448" w:type="pct"/>
            <w:vMerge w:val="restart"/>
            <w:vAlign w:val="center"/>
          </w:tcPr>
          <w:p w14:paraId="002EF12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设计表</w:t>
            </w:r>
          </w:p>
          <w:p w14:paraId="23E68A5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观密度</w:t>
            </w:r>
          </w:p>
        </w:tc>
        <w:tc>
          <w:tcPr>
            <w:tcW w:w="2476" w:type="pct"/>
            <w:gridSpan w:val="6"/>
            <w:vAlign w:val="center"/>
          </w:tcPr>
          <w:p w14:paraId="5E54DF6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单位材料用量（kg/m</w:t>
            </w:r>
            <w:r>
              <w:rPr>
                <w:color w:val="0D0D0D" w:themeColor="text1" w:themeTint="F2"/>
                <w:sz w:val="18"/>
                <w:szCs w:val="18"/>
                <w:vertAlign w:val="superscript"/>
                <w14:textFill>
                  <w14:solidFill>
                    <w14:schemeClr w14:val="tx1">
                      <w14:lumMod w14:val="95000"/>
                      <w14:lumOff w14:val="5000"/>
                    </w14:schemeClr>
                  </w14:solidFill>
                </w14:textFill>
              </w:rPr>
              <w:t>3</w:t>
            </w:r>
            <w:r>
              <w:rPr>
                <w:color w:val="0D0D0D" w:themeColor="text1" w:themeTint="F2"/>
                <w:sz w:val="18"/>
                <w:szCs w:val="18"/>
                <w14:textFill>
                  <w14:solidFill>
                    <w14:schemeClr w14:val="tx1">
                      <w14:lumMod w14:val="95000"/>
                      <w14:lumOff w14:val="5000"/>
                    </w14:schemeClr>
                  </w14:solidFill>
                </w14:textFill>
              </w:rPr>
              <w:t>）</w:t>
            </w:r>
          </w:p>
        </w:tc>
      </w:tr>
      <w:tr w14:paraId="0FB9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610" w:type="pct"/>
            <w:vMerge w:val="continue"/>
            <w:vAlign w:val="center"/>
          </w:tcPr>
          <w:p w14:paraId="664AC99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5E24764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37D971A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2BE91B6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用水量</w:t>
            </w:r>
          </w:p>
        </w:tc>
        <w:tc>
          <w:tcPr>
            <w:tcW w:w="339" w:type="pct"/>
            <w:vAlign w:val="center"/>
          </w:tcPr>
          <w:p w14:paraId="28CD508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水泥</w:t>
            </w:r>
          </w:p>
        </w:tc>
        <w:tc>
          <w:tcPr>
            <w:tcW w:w="424" w:type="pct"/>
            <w:vAlign w:val="center"/>
          </w:tcPr>
          <w:p w14:paraId="67972C8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粉煤灰</w:t>
            </w:r>
          </w:p>
        </w:tc>
        <w:tc>
          <w:tcPr>
            <w:tcW w:w="390" w:type="pct"/>
            <w:vAlign w:val="center"/>
          </w:tcPr>
          <w:p w14:paraId="2D93F69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石粉</w:t>
            </w:r>
          </w:p>
        </w:tc>
        <w:tc>
          <w:tcPr>
            <w:tcW w:w="432" w:type="pct"/>
            <w:vAlign w:val="center"/>
          </w:tcPr>
          <w:p w14:paraId="20678D2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砂砾石</w:t>
            </w:r>
          </w:p>
        </w:tc>
        <w:tc>
          <w:tcPr>
            <w:tcW w:w="510" w:type="pct"/>
            <w:vAlign w:val="center"/>
          </w:tcPr>
          <w:p w14:paraId="3F9F78B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缓凝高</w:t>
            </w:r>
          </w:p>
          <w:p w14:paraId="63E628D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减水剂</w:t>
            </w:r>
          </w:p>
        </w:tc>
      </w:tr>
      <w:tr w14:paraId="1FE8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jc w:val="center"/>
        </w:trPr>
        <w:tc>
          <w:tcPr>
            <w:tcW w:w="610" w:type="pct"/>
            <w:vAlign w:val="center"/>
          </w:tcPr>
          <w:p w14:paraId="633BD21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街面</w:t>
            </w:r>
          </w:p>
        </w:tc>
        <w:tc>
          <w:tcPr>
            <w:tcW w:w="1466" w:type="pct"/>
            <w:vAlign w:val="center"/>
          </w:tcPr>
          <w:p w14:paraId="08F6D81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180d龄期C7.5</w:t>
            </w:r>
          </w:p>
        </w:tc>
        <w:tc>
          <w:tcPr>
            <w:tcW w:w="448" w:type="pct"/>
            <w:vAlign w:val="center"/>
          </w:tcPr>
          <w:p w14:paraId="00CD35F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5B9AFF8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80</w:t>
            </w:r>
          </w:p>
        </w:tc>
        <w:tc>
          <w:tcPr>
            <w:tcW w:w="339" w:type="pct"/>
            <w:vAlign w:val="center"/>
          </w:tcPr>
          <w:p w14:paraId="6449682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45</w:t>
            </w:r>
          </w:p>
        </w:tc>
        <w:tc>
          <w:tcPr>
            <w:tcW w:w="424" w:type="pct"/>
            <w:vAlign w:val="center"/>
          </w:tcPr>
          <w:p w14:paraId="6F2DBFD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45</w:t>
            </w:r>
          </w:p>
        </w:tc>
        <w:tc>
          <w:tcPr>
            <w:tcW w:w="390" w:type="pct"/>
            <w:vAlign w:val="center"/>
          </w:tcPr>
          <w:p w14:paraId="492577D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3D7454B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2340</w:t>
            </w:r>
          </w:p>
        </w:tc>
        <w:tc>
          <w:tcPr>
            <w:tcW w:w="510" w:type="pct"/>
            <w:vAlign w:val="center"/>
          </w:tcPr>
          <w:p w14:paraId="32E1EA5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0.63</w:t>
            </w:r>
          </w:p>
        </w:tc>
      </w:tr>
      <w:tr w14:paraId="0C0A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jc w:val="center"/>
        </w:trPr>
        <w:tc>
          <w:tcPr>
            <w:tcW w:w="610" w:type="pct"/>
            <w:vMerge w:val="restart"/>
            <w:vAlign w:val="center"/>
          </w:tcPr>
          <w:p w14:paraId="3A4F961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洪口</w:t>
            </w:r>
          </w:p>
        </w:tc>
        <w:tc>
          <w:tcPr>
            <w:tcW w:w="1466" w:type="pct"/>
            <w:vMerge w:val="restart"/>
            <w:vAlign w:val="center"/>
          </w:tcPr>
          <w:p w14:paraId="1A3CD123">
            <w:pPr>
              <w:autoSpaceDE w:val="0"/>
              <w:autoSpaceDN w:val="0"/>
              <w:adjustRightInd w:val="0"/>
              <w:spacing w:line="240" w:lineRule="auto"/>
              <w:ind w:left="284" w:hanging="284" w:firstLineChars="0"/>
              <w:jc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28d抗压强度大于4MPa</w:t>
            </w:r>
          </w:p>
          <w:p w14:paraId="2A2FDFB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28d抗拉强度大于0.35MPa</w:t>
            </w:r>
          </w:p>
        </w:tc>
        <w:tc>
          <w:tcPr>
            <w:tcW w:w="448" w:type="pct"/>
            <w:vMerge w:val="restart"/>
            <w:vAlign w:val="center"/>
          </w:tcPr>
          <w:p w14:paraId="09A64B9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≥2200</w:t>
            </w:r>
          </w:p>
        </w:tc>
        <w:tc>
          <w:tcPr>
            <w:tcW w:w="382" w:type="pct"/>
            <w:vAlign w:val="center"/>
          </w:tcPr>
          <w:p w14:paraId="4BADDC9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85</w:t>
            </w:r>
          </w:p>
        </w:tc>
        <w:tc>
          <w:tcPr>
            <w:tcW w:w="339" w:type="pct"/>
            <w:vAlign w:val="center"/>
          </w:tcPr>
          <w:p w14:paraId="67F410F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40</w:t>
            </w:r>
          </w:p>
        </w:tc>
        <w:tc>
          <w:tcPr>
            <w:tcW w:w="424" w:type="pct"/>
            <w:vAlign w:val="center"/>
          </w:tcPr>
          <w:p w14:paraId="193C204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40</w:t>
            </w:r>
          </w:p>
        </w:tc>
        <w:tc>
          <w:tcPr>
            <w:tcW w:w="390" w:type="pct"/>
            <w:vAlign w:val="center"/>
          </w:tcPr>
          <w:p w14:paraId="32AF65B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20</w:t>
            </w:r>
          </w:p>
        </w:tc>
        <w:tc>
          <w:tcPr>
            <w:tcW w:w="432" w:type="pct"/>
            <w:vAlign w:val="center"/>
          </w:tcPr>
          <w:p w14:paraId="0DDDE51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2175</w:t>
            </w:r>
          </w:p>
        </w:tc>
        <w:tc>
          <w:tcPr>
            <w:tcW w:w="510" w:type="pct"/>
            <w:vAlign w:val="center"/>
          </w:tcPr>
          <w:p w14:paraId="14AB55E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0B602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610" w:type="pct"/>
            <w:vMerge w:val="continue"/>
            <w:vAlign w:val="center"/>
          </w:tcPr>
          <w:p w14:paraId="13E0FEE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39A0C7FA">
            <w:pPr>
              <w:spacing w:line="240" w:lineRule="auto"/>
              <w:ind w:left="284" w:hanging="284" w:firstLineChars="0"/>
              <w:jc w:val="center"/>
              <w:rPr>
                <w:color w:val="0D0D0D" w:themeColor="text1" w:themeTint="F2"/>
                <w:kern w:val="0"/>
                <w:sz w:val="18"/>
                <w:szCs w:val="18"/>
                <w14:textFill>
                  <w14:solidFill>
                    <w14:schemeClr w14:val="tx1">
                      <w14:lumMod w14:val="95000"/>
                      <w14:lumOff w14:val="5000"/>
                    </w14:schemeClr>
                  </w14:solidFill>
                </w14:textFill>
              </w:rPr>
            </w:pPr>
          </w:p>
        </w:tc>
        <w:tc>
          <w:tcPr>
            <w:tcW w:w="448" w:type="pct"/>
            <w:vMerge w:val="continue"/>
            <w:vAlign w:val="center"/>
          </w:tcPr>
          <w:p w14:paraId="6824A1A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605A69B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115</w:t>
            </w:r>
          </w:p>
        </w:tc>
        <w:tc>
          <w:tcPr>
            <w:tcW w:w="339" w:type="pct"/>
            <w:vAlign w:val="center"/>
          </w:tcPr>
          <w:p w14:paraId="0796A0D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55</w:t>
            </w:r>
          </w:p>
        </w:tc>
        <w:tc>
          <w:tcPr>
            <w:tcW w:w="424" w:type="pct"/>
            <w:vAlign w:val="center"/>
          </w:tcPr>
          <w:p w14:paraId="38A45E1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45</w:t>
            </w:r>
          </w:p>
        </w:tc>
        <w:tc>
          <w:tcPr>
            <w:tcW w:w="390" w:type="pct"/>
            <w:vAlign w:val="center"/>
          </w:tcPr>
          <w:p w14:paraId="14BBB03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30</w:t>
            </w:r>
          </w:p>
        </w:tc>
        <w:tc>
          <w:tcPr>
            <w:tcW w:w="432" w:type="pct"/>
            <w:vAlign w:val="center"/>
          </w:tcPr>
          <w:p w14:paraId="7F6314F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2105</w:t>
            </w:r>
          </w:p>
        </w:tc>
        <w:tc>
          <w:tcPr>
            <w:tcW w:w="510" w:type="pct"/>
            <w:vAlign w:val="center"/>
          </w:tcPr>
          <w:p w14:paraId="1728981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7192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610" w:type="pct"/>
            <w:vMerge w:val="restart"/>
            <w:vAlign w:val="center"/>
          </w:tcPr>
          <w:p w14:paraId="0232F16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功果桥</w:t>
            </w:r>
          </w:p>
        </w:tc>
        <w:tc>
          <w:tcPr>
            <w:tcW w:w="1466" w:type="pct"/>
            <w:vMerge w:val="restart"/>
            <w:vAlign w:val="center"/>
          </w:tcPr>
          <w:p w14:paraId="7763FE1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90d龄期C5</w:t>
            </w:r>
          </w:p>
        </w:tc>
        <w:tc>
          <w:tcPr>
            <w:tcW w:w="448" w:type="pct"/>
            <w:vMerge w:val="restart"/>
            <w:vAlign w:val="center"/>
          </w:tcPr>
          <w:p w14:paraId="5218AED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17F8A59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72</w:t>
            </w:r>
          </w:p>
        </w:tc>
        <w:tc>
          <w:tcPr>
            <w:tcW w:w="339" w:type="pct"/>
            <w:vAlign w:val="center"/>
          </w:tcPr>
          <w:p w14:paraId="38F5FEE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100</w:t>
            </w:r>
          </w:p>
        </w:tc>
        <w:tc>
          <w:tcPr>
            <w:tcW w:w="424" w:type="pct"/>
            <w:vAlign w:val="center"/>
          </w:tcPr>
          <w:p w14:paraId="5041BF3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390" w:type="pct"/>
            <w:vAlign w:val="center"/>
          </w:tcPr>
          <w:p w14:paraId="055150C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1B95048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2238</w:t>
            </w:r>
          </w:p>
        </w:tc>
        <w:tc>
          <w:tcPr>
            <w:tcW w:w="510" w:type="pct"/>
            <w:vAlign w:val="center"/>
          </w:tcPr>
          <w:p w14:paraId="3EDAF91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70C9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Merge w:val="continue"/>
            <w:vAlign w:val="center"/>
          </w:tcPr>
          <w:p w14:paraId="2D0C1C2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44A0430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53394FD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58B8F08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74</w:t>
            </w:r>
          </w:p>
        </w:tc>
        <w:tc>
          <w:tcPr>
            <w:tcW w:w="339" w:type="pct"/>
            <w:vAlign w:val="center"/>
          </w:tcPr>
          <w:p w14:paraId="49F13E5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70</w:t>
            </w:r>
          </w:p>
        </w:tc>
        <w:tc>
          <w:tcPr>
            <w:tcW w:w="424" w:type="pct"/>
            <w:vAlign w:val="center"/>
          </w:tcPr>
          <w:p w14:paraId="46F0953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30</w:t>
            </w:r>
          </w:p>
        </w:tc>
        <w:tc>
          <w:tcPr>
            <w:tcW w:w="390" w:type="pct"/>
            <w:vAlign w:val="center"/>
          </w:tcPr>
          <w:p w14:paraId="169A7A5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3F54170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2235</w:t>
            </w:r>
          </w:p>
        </w:tc>
        <w:tc>
          <w:tcPr>
            <w:tcW w:w="510" w:type="pct"/>
            <w:vAlign w:val="center"/>
          </w:tcPr>
          <w:p w14:paraId="18041C9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1E10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10" w:type="pct"/>
            <w:vMerge w:val="continue"/>
            <w:vAlign w:val="center"/>
          </w:tcPr>
          <w:p w14:paraId="0682248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49BF3F1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48E4CB4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0C56F57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74</w:t>
            </w:r>
          </w:p>
        </w:tc>
        <w:tc>
          <w:tcPr>
            <w:tcW w:w="339" w:type="pct"/>
            <w:vAlign w:val="center"/>
          </w:tcPr>
          <w:p w14:paraId="7F131F6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90</w:t>
            </w:r>
          </w:p>
        </w:tc>
        <w:tc>
          <w:tcPr>
            <w:tcW w:w="424" w:type="pct"/>
            <w:vAlign w:val="center"/>
          </w:tcPr>
          <w:p w14:paraId="1BA7CDF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390" w:type="pct"/>
            <w:vAlign w:val="center"/>
          </w:tcPr>
          <w:p w14:paraId="0F945A3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4955A44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2245</w:t>
            </w:r>
          </w:p>
        </w:tc>
        <w:tc>
          <w:tcPr>
            <w:tcW w:w="510" w:type="pct"/>
            <w:vAlign w:val="center"/>
          </w:tcPr>
          <w:p w14:paraId="758C2FC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4A19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3" w:hRule="atLeast"/>
          <w:jc w:val="center"/>
        </w:trPr>
        <w:tc>
          <w:tcPr>
            <w:tcW w:w="610" w:type="pct"/>
            <w:vMerge w:val="continue"/>
            <w:vAlign w:val="center"/>
          </w:tcPr>
          <w:p w14:paraId="0643471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5E0C154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1099144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5BAC505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97</w:t>
            </w:r>
          </w:p>
        </w:tc>
        <w:tc>
          <w:tcPr>
            <w:tcW w:w="339" w:type="pct"/>
            <w:vAlign w:val="center"/>
          </w:tcPr>
          <w:p w14:paraId="7C941F2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100</w:t>
            </w:r>
          </w:p>
        </w:tc>
        <w:tc>
          <w:tcPr>
            <w:tcW w:w="424" w:type="pct"/>
            <w:vAlign w:val="center"/>
          </w:tcPr>
          <w:p w14:paraId="597C28C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390" w:type="pct"/>
            <w:vAlign w:val="center"/>
          </w:tcPr>
          <w:p w14:paraId="0B35663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1A9DF7A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2213</w:t>
            </w:r>
          </w:p>
        </w:tc>
        <w:tc>
          <w:tcPr>
            <w:tcW w:w="510" w:type="pct"/>
            <w:vAlign w:val="center"/>
          </w:tcPr>
          <w:p w14:paraId="3931E48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6E75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7" w:hRule="atLeast"/>
          <w:jc w:val="center"/>
        </w:trPr>
        <w:tc>
          <w:tcPr>
            <w:tcW w:w="610" w:type="pct"/>
            <w:vMerge w:val="continue"/>
            <w:vAlign w:val="center"/>
          </w:tcPr>
          <w:p w14:paraId="3FAF86F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4BD8C5F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563026B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104B2AD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97</w:t>
            </w:r>
          </w:p>
        </w:tc>
        <w:tc>
          <w:tcPr>
            <w:tcW w:w="339" w:type="pct"/>
            <w:vAlign w:val="center"/>
          </w:tcPr>
          <w:p w14:paraId="2EB6DEC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77</w:t>
            </w:r>
          </w:p>
        </w:tc>
        <w:tc>
          <w:tcPr>
            <w:tcW w:w="424" w:type="pct"/>
            <w:vAlign w:val="center"/>
          </w:tcPr>
          <w:p w14:paraId="388C86D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33</w:t>
            </w:r>
          </w:p>
        </w:tc>
        <w:tc>
          <w:tcPr>
            <w:tcW w:w="390" w:type="pct"/>
            <w:vAlign w:val="center"/>
          </w:tcPr>
          <w:p w14:paraId="021E32E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5B92F23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2203</w:t>
            </w:r>
          </w:p>
        </w:tc>
        <w:tc>
          <w:tcPr>
            <w:tcW w:w="510" w:type="pct"/>
            <w:vAlign w:val="center"/>
          </w:tcPr>
          <w:p w14:paraId="2F62702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r>
      <w:tr w14:paraId="3F94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 w:hRule="atLeast"/>
          <w:jc w:val="center"/>
        </w:trPr>
        <w:tc>
          <w:tcPr>
            <w:tcW w:w="610" w:type="pct"/>
            <w:vMerge w:val="restart"/>
            <w:vAlign w:val="center"/>
          </w:tcPr>
          <w:p w14:paraId="3555619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沙沱</w:t>
            </w:r>
          </w:p>
        </w:tc>
        <w:tc>
          <w:tcPr>
            <w:tcW w:w="1466" w:type="pct"/>
            <w:vMerge w:val="restart"/>
            <w:vAlign w:val="center"/>
          </w:tcPr>
          <w:p w14:paraId="278E46F6">
            <w:pPr>
              <w:autoSpaceDE w:val="0"/>
              <w:autoSpaceDN w:val="0"/>
              <w:adjustRightInd w:val="0"/>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28d抗压强度不低于4MPa</w:t>
            </w:r>
          </w:p>
          <w:p w14:paraId="18450211">
            <w:pPr>
              <w:autoSpaceDE w:val="0"/>
              <w:autoSpaceDN w:val="0"/>
              <w:adjustRightInd w:val="0"/>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28d抗拉强度大于0.35MPa</w:t>
            </w:r>
          </w:p>
          <w:p w14:paraId="2A6D109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180d抗压强度不低于10MPa</w:t>
            </w:r>
          </w:p>
        </w:tc>
        <w:tc>
          <w:tcPr>
            <w:tcW w:w="448" w:type="pct"/>
            <w:vMerge w:val="restart"/>
            <w:vAlign w:val="center"/>
          </w:tcPr>
          <w:p w14:paraId="3521E5C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≥2200</w:t>
            </w:r>
          </w:p>
        </w:tc>
        <w:tc>
          <w:tcPr>
            <w:tcW w:w="382" w:type="pct"/>
            <w:vAlign w:val="center"/>
          </w:tcPr>
          <w:p w14:paraId="70786E8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75</w:t>
            </w:r>
          </w:p>
        </w:tc>
        <w:tc>
          <w:tcPr>
            <w:tcW w:w="339" w:type="pct"/>
            <w:vAlign w:val="center"/>
          </w:tcPr>
          <w:p w14:paraId="573571E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40</w:t>
            </w:r>
          </w:p>
        </w:tc>
        <w:tc>
          <w:tcPr>
            <w:tcW w:w="424" w:type="pct"/>
            <w:vAlign w:val="center"/>
          </w:tcPr>
          <w:p w14:paraId="385FC01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40</w:t>
            </w:r>
          </w:p>
        </w:tc>
        <w:tc>
          <w:tcPr>
            <w:tcW w:w="390" w:type="pct"/>
            <w:vAlign w:val="center"/>
          </w:tcPr>
          <w:p w14:paraId="4C5971B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1E6C9C9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2398</w:t>
            </w:r>
          </w:p>
        </w:tc>
        <w:tc>
          <w:tcPr>
            <w:tcW w:w="510" w:type="pct"/>
            <w:vAlign w:val="center"/>
          </w:tcPr>
          <w:p w14:paraId="47C083F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0.4</w:t>
            </w:r>
          </w:p>
        </w:tc>
      </w:tr>
      <w:tr w14:paraId="7DD2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Merge w:val="continue"/>
            <w:vAlign w:val="center"/>
          </w:tcPr>
          <w:p w14:paraId="2D83528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2201198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1F3CEA6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7EF9E24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70</w:t>
            </w:r>
          </w:p>
        </w:tc>
        <w:tc>
          <w:tcPr>
            <w:tcW w:w="339" w:type="pct"/>
            <w:vAlign w:val="center"/>
          </w:tcPr>
          <w:p w14:paraId="536BEFE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30</w:t>
            </w:r>
          </w:p>
        </w:tc>
        <w:tc>
          <w:tcPr>
            <w:tcW w:w="424" w:type="pct"/>
            <w:vAlign w:val="center"/>
          </w:tcPr>
          <w:p w14:paraId="6EE0416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30</w:t>
            </w:r>
          </w:p>
        </w:tc>
        <w:tc>
          <w:tcPr>
            <w:tcW w:w="390" w:type="pct"/>
            <w:vAlign w:val="center"/>
          </w:tcPr>
          <w:p w14:paraId="2C3A9C6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5F8F296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2391</w:t>
            </w:r>
          </w:p>
        </w:tc>
        <w:tc>
          <w:tcPr>
            <w:tcW w:w="510" w:type="pct"/>
            <w:vAlign w:val="center"/>
          </w:tcPr>
          <w:p w14:paraId="12345CA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0.3</w:t>
            </w:r>
          </w:p>
        </w:tc>
      </w:tr>
      <w:tr w14:paraId="3F32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Merge w:val="continue"/>
            <w:vAlign w:val="center"/>
          </w:tcPr>
          <w:p w14:paraId="1873A30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1466" w:type="pct"/>
            <w:vMerge w:val="continue"/>
            <w:vAlign w:val="center"/>
          </w:tcPr>
          <w:p w14:paraId="2741A06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448" w:type="pct"/>
            <w:vMerge w:val="continue"/>
            <w:vAlign w:val="center"/>
          </w:tcPr>
          <w:p w14:paraId="1BB361F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p>
        </w:tc>
        <w:tc>
          <w:tcPr>
            <w:tcW w:w="382" w:type="pct"/>
            <w:vAlign w:val="center"/>
          </w:tcPr>
          <w:p w14:paraId="4BC3073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70</w:t>
            </w:r>
          </w:p>
        </w:tc>
        <w:tc>
          <w:tcPr>
            <w:tcW w:w="339" w:type="pct"/>
            <w:vAlign w:val="center"/>
          </w:tcPr>
          <w:p w14:paraId="13F7CC4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25</w:t>
            </w:r>
          </w:p>
        </w:tc>
        <w:tc>
          <w:tcPr>
            <w:tcW w:w="424" w:type="pct"/>
            <w:vAlign w:val="center"/>
          </w:tcPr>
          <w:p w14:paraId="2465763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25</w:t>
            </w:r>
          </w:p>
        </w:tc>
        <w:tc>
          <w:tcPr>
            <w:tcW w:w="390" w:type="pct"/>
            <w:vAlign w:val="center"/>
          </w:tcPr>
          <w:p w14:paraId="637530C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21DD852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2401</w:t>
            </w:r>
          </w:p>
        </w:tc>
        <w:tc>
          <w:tcPr>
            <w:tcW w:w="510" w:type="pct"/>
            <w:vAlign w:val="center"/>
          </w:tcPr>
          <w:p w14:paraId="4A4B20B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0.25</w:t>
            </w:r>
          </w:p>
        </w:tc>
      </w:tr>
      <w:tr w14:paraId="310C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Align w:val="center"/>
          </w:tcPr>
          <w:p w14:paraId="156E948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守口堡</w:t>
            </w:r>
          </w:p>
        </w:tc>
        <w:tc>
          <w:tcPr>
            <w:tcW w:w="1466" w:type="pct"/>
            <w:vAlign w:val="center"/>
          </w:tcPr>
          <w:p w14:paraId="4E456FC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180d龄期C6</w:t>
            </w:r>
          </w:p>
        </w:tc>
        <w:tc>
          <w:tcPr>
            <w:tcW w:w="448" w:type="pct"/>
            <w:vAlign w:val="center"/>
          </w:tcPr>
          <w:p w14:paraId="58DE634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6694C01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110</w:t>
            </w:r>
          </w:p>
        </w:tc>
        <w:tc>
          <w:tcPr>
            <w:tcW w:w="339" w:type="pct"/>
            <w:vAlign w:val="center"/>
          </w:tcPr>
          <w:p w14:paraId="739B0062">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50</w:t>
            </w:r>
          </w:p>
        </w:tc>
        <w:tc>
          <w:tcPr>
            <w:tcW w:w="424" w:type="pct"/>
            <w:vAlign w:val="center"/>
          </w:tcPr>
          <w:p w14:paraId="1C6AA65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40</w:t>
            </w:r>
          </w:p>
        </w:tc>
        <w:tc>
          <w:tcPr>
            <w:tcW w:w="390" w:type="pct"/>
            <w:vAlign w:val="center"/>
          </w:tcPr>
          <w:p w14:paraId="427D13E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53706D4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2215</w:t>
            </w:r>
          </w:p>
        </w:tc>
        <w:tc>
          <w:tcPr>
            <w:tcW w:w="510" w:type="pct"/>
            <w:vAlign w:val="center"/>
          </w:tcPr>
          <w:p w14:paraId="1B1C8AF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0.6</w:t>
            </w:r>
          </w:p>
        </w:tc>
      </w:tr>
      <w:tr w14:paraId="5D4C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Align w:val="center"/>
          </w:tcPr>
          <w:p w14:paraId="358BE7E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顺江堰</w:t>
            </w:r>
          </w:p>
        </w:tc>
        <w:tc>
          <w:tcPr>
            <w:tcW w:w="1466" w:type="pct"/>
            <w:vAlign w:val="center"/>
          </w:tcPr>
          <w:p w14:paraId="534B42C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180d龄期C10</w:t>
            </w:r>
          </w:p>
        </w:tc>
        <w:tc>
          <w:tcPr>
            <w:tcW w:w="448" w:type="pct"/>
            <w:vAlign w:val="center"/>
          </w:tcPr>
          <w:p w14:paraId="094ECF2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2F6DB76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100</w:t>
            </w:r>
          </w:p>
        </w:tc>
        <w:tc>
          <w:tcPr>
            <w:tcW w:w="339" w:type="pct"/>
            <w:vAlign w:val="center"/>
          </w:tcPr>
          <w:p w14:paraId="1F20BE2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78</w:t>
            </w:r>
          </w:p>
        </w:tc>
        <w:tc>
          <w:tcPr>
            <w:tcW w:w="424" w:type="pct"/>
            <w:vAlign w:val="center"/>
          </w:tcPr>
          <w:p w14:paraId="462BEE0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52</w:t>
            </w:r>
          </w:p>
        </w:tc>
        <w:tc>
          <w:tcPr>
            <w:tcW w:w="390" w:type="pct"/>
            <w:vAlign w:val="center"/>
          </w:tcPr>
          <w:p w14:paraId="1E57792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1CCFBB9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2185</w:t>
            </w:r>
          </w:p>
        </w:tc>
        <w:tc>
          <w:tcPr>
            <w:tcW w:w="510" w:type="pct"/>
            <w:vAlign w:val="center"/>
          </w:tcPr>
          <w:p w14:paraId="685D45D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0.7</w:t>
            </w:r>
          </w:p>
        </w:tc>
      </w:tr>
      <w:tr w14:paraId="5AAC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Align w:val="center"/>
          </w:tcPr>
          <w:p w14:paraId="6A55366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犍为堤防</w:t>
            </w:r>
          </w:p>
        </w:tc>
        <w:tc>
          <w:tcPr>
            <w:tcW w:w="1466" w:type="pct"/>
            <w:vAlign w:val="center"/>
          </w:tcPr>
          <w:p w14:paraId="6214CFC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180d龄期C4</w:t>
            </w:r>
          </w:p>
        </w:tc>
        <w:tc>
          <w:tcPr>
            <w:tcW w:w="448" w:type="pct"/>
            <w:vAlign w:val="center"/>
          </w:tcPr>
          <w:p w14:paraId="5374E92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472061EB">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82</w:t>
            </w:r>
          </w:p>
        </w:tc>
        <w:tc>
          <w:tcPr>
            <w:tcW w:w="339" w:type="pct"/>
            <w:vAlign w:val="center"/>
          </w:tcPr>
          <w:p w14:paraId="4059406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45</w:t>
            </w:r>
          </w:p>
        </w:tc>
        <w:tc>
          <w:tcPr>
            <w:tcW w:w="424" w:type="pct"/>
            <w:vAlign w:val="center"/>
          </w:tcPr>
          <w:p w14:paraId="3B09571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45</w:t>
            </w:r>
          </w:p>
        </w:tc>
        <w:tc>
          <w:tcPr>
            <w:tcW w:w="390" w:type="pct"/>
            <w:vAlign w:val="center"/>
          </w:tcPr>
          <w:p w14:paraId="705EB76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7CAE4D5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2250</w:t>
            </w:r>
          </w:p>
        </w:tc>
        <w:tc>
          <w:tcPr>
            <w:tcW w:w="510" w:type="pct"/>
            <w:vAlign w:val="center"/>
          </w:tcPr>
          <w:p w14:paraId="45DA16E3">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0.6</w:t>
            </w:r>
          </w:p>
        </w:tc>
      </w:tr>
      <w:tr w14:paraId="1EAF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Align w:val="center"/>
          </w:tcPr>
          <w:p w14:paraId="373E4EF8">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金鸡沟</w:t>
            </w:r>
          </w:p>
        </w:tc>
        <w:tc>
          <w:tcPr>
            <w:tcW w:w="1466" w:type="pct"/>
            <w:vAlign w:val="center"/>
          </w:tcPr>
          <w:p w14:paraId="6C6861D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180d龄期C8</w:t>
            </w:r>
          </w:p>
        </w:tc>
        <w:tc>
          <w:tcPr>
            <w:tcW w:w="448" w:type="pct"/>
            <w:vAlign w:val="center"/>
          </w:tcPr>
          <w:p w14:paraId="7B7FA9C9">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6BA174EF">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85</w:t>
            </w:r>
          </w:p>
        </w:tc>
        <w:tc>
          <w:tcPr>
            <w:tcW w:w="339" w:type="pct"/>
            <w:vAlign w:val="center"/>
          </w:tcPr>
          <w:p w14:paraId="2C0FEAD6">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60</w:t>
            </w:r>
          </w:p>
        </w:tc>
        <w:tc>
          <w:tcPr>
            <w:tcW w:w="424" w:type="pct"/>
            <w:vAlign w:val="center"/>
          </w:tcPr>
          <w:p w14:paraId="79B0F0E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60</w:t>
            </w:r>
          </w:p>
        </w:tc>
        <w:tc>
          <w:tcPr>
            <w:tcW w:w="390" w:type="pct"/>
            <w:vAlign w:val="center"/>
          </w:tcPr>
          <w:p w14:paraId="1415B91D">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206B4B34">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2195</w:t>
            </w:r>
          </w:p>
        </w:tc>
        <w:tc>
          <w:tcPr>
            <w:tcW w:w="510" w:type="pct"/>
            <w:vAlign w:val="center"/>
          </w:tcPr>
          <w:p w14:paraId="4F30D02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0.7</w:t>
            </w:r>
          </w:p>
        </w:tc>
      </w:tr>
      <w:tr w14:paraId="33A9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0" w:type="pct"/>
            <w:vAlign w:val="center"/>
          </w:tcPr>
          <w:p w14:paraId="3D13743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西江</w:t>
            </w:r>
          </w:p>
        </w:tc>
        <w:tc>
          <w:tcPr>
            <w:tcW w:w="1466" w:type="pct"/>
            <w:vAlign w:val="center"/>
          </w:tcPr>
          <w:p w14:paraId="2E5F0155">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180d龄期C8</w:t>
            </w:r>
          </w:p>
        </w:tc>
        <w:tc>
          <w:tcPr>
            <w:tcW w:w="448" w:type="pct"/>
            <w:vAlign w:val="center"/>
          </w:tcPr>
          <w:p w14:paraId="0DC2E410">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≥2300</w:t>
            </w:r>
          </w:p>
        </w:tc>
        <w:tc>
          <w:tcPr>
            <w:tcW w:w="382" w:type="pct"/>
            <w:vAlign w:val="center"/>
          </w:tcPr>
          <w:p w14:paraId="08B3E68C">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100</w:t>
            </w:r>
          </w:p>
        </w:tc>
        <w:tc>
          <w:tcPr>
            <w:tcW w:w="339" w:type="pct"/>
            <w:vAlign w:val="center"/>
          </w:tcPr>
          <w:p w14:paraId="78A04D3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65</w:t>
            </w:r>
          </w:p>
        </w:tc>
        <w:tc>
          <w:tcPr>
            <w:tcW w:w="424" w:type="pct"/>
            <w:vAlign w:val="center"/>
          </w:tcPr>
          <w:p w14:paraId="38BE43D1">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65</w:t>
            </w:r>
          </w:p>
        </w:tc>
        <w:tc>
          <w:tcPr>
            <w:tcW w:w="390" w:type="pct"/>
            <w:vAlign w:val="center"/>
          </w:tcPr>
          <w:p w14:paraId="763C7BDE">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w:t>
            </w:r>
          </w:p>
        </w:tc>
        <w:tc>
          <w:tcPr>
            <w:tcW w:w="432" w:type="pct"/>
            <w:vAlign w:val="center"/>
          </w:tcPr>
          <w:p w14:paraId="0968F6C7">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2210</w:t>
            </w:r>
          </w:p>
        </w:tc>
        <w:tc>
          <w:tcPr>
            <w:tcW w:w="510" w:type="pct"/>
            <w:vAlign w:val="center"/>
          </w:tcPr>
          <w:p w14:paraId="1ACFDEFA">
            <w:pPr>
              <w:spacing w:line="240" w:lineRule="auto"/>
              <w:ind w:left="284" w:hanging="284" w:firstLineChars="0"/>
              <w:jc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sz w:val="18"/>
                <w:szCs w:val="18"/>
                <w14:textFill>
                  <w14:solidFill>
                    <w14:schemeClr w14:val="tx1">
                      <w14:lumMod w14:val="95000"/>
                      <w14:lumOff w14:val="5000"/>
                    </w14:schemeClr>
                  </w14:solidFill>
                </w14:textFill>
              </w:rPr>
              <w:t>0.5</w:t>
            </w:r>
          </w:p>
        </w:tc>
      </w:tr>
    </w:tbl>
    <w:p w14:paraId="15975A8D">
      <w:pPr>
        <w:ind w:firstLine="420"/>
        <w:rPr>
          <w:color w:val="0D0D0D" w:themeColor="text1" w:themeTint="F2"/>
          <w14:textFill>
            <w14:solidFill>
              <w14:schemeClr w14:val="tx1">
                <w14:lumMod w14:val="95000"/>
                <w14:lumOff w14:val="5000"/>
              </w14:schemeClr>
            </w14:solidFill>
          </w14:textFill>
        </w:rPr>
      </w:pPr>
    </w:p>
    <w:p w14:paraId="1A6C89C3">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b/>
          <w:color w:val="0D0D0D" w:themeColor="text1" w:themeTint="F2"/>
          <w:szCs w:val="21"/>
          <w14:textFill>
            <w14:solidFill>
              <w14:schemeClr w14:val="tx1">
                <w14:lumMod w14:val="95000"/>
                <w14:lumOff w14:val="5000"/>
              </w14:schemeClr>
            </w14:solidFill>
          </w14:textFill>
        </w:rPr>
        <w:t>5.0.5</w:t>
      </w:r>
      <w:r>
        <w:rPr>
          <w:color w:val="0D0D0D" w:themeColor="text1" w:themeTint="F2"/>
          <w:szCs w:val="21"/>
          <w14:textFill>
            <w14:solidFill>
              <w14:schemeClr w14:val="tx1">
                <w14:lumMod w14:val="95000"/>
                <w14:lumOff w14:val="5000"/>
              </w14:schemeClr>
            </w14:solidFill>
          </w14:textFill>
        </w:rPr>
        <w:t xml:space="preserve"> 胶结砂砾石强度试验方法参照《水工混凝土试验规程》（SL 352）中混凝土和碾压混凝土试验的有关规定执行。由于砂砾石的离散性，室内试验时须将砂砾石按水工混凝土级配要求筛分后再按一定比例分别称量、配制，以确保试验的准确性。</w:t>
      </w:r>
    </w:p>
    <w:p w14:paraId="4A02FEBC">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5</w:t>
      </w:r>
      <w:r>
        <w:rPr>
          <w:b/>
          <w:color w:val="0D0D0D" w:themeColor="text1" w:themeTint="F2"/>
          <w:szCs w:val="21"/>
          <w14:textFill>
            <w14:solidFill>
              <w14:schemeClr w14:val="tx1">
                <w14:lumMod w14:val="95000"/>
                <w14:lumOff w14:val="5000"/>
              </w14:schemeClr>
            </w14:solidFill>
          </w14:textFill>
        </w:rPr>
        <w:t>.0.6</w:t>
      </w:r>
      <w:r>
        <w:rPr>
          <w:color w:val="0D0D0D" w:themeColor="text1" w:themeTint="F2"/>
          <w:szCs w:val="21"/>
          <w14:textFill>
            <w14:solidFill>
              <w14:schemeClr w14:val="tx1">
                <w14:lumMod w14:val="95000"/>
                <w14:lumOff w14:val="5000"/>
              </w14:schemeClr>
            </w14:solidFill>
          </w14:textFill>
        </w:rPr>
        <w:t xml:space="preserve"> 胶凝材料用量不仅影响胶结砂砾石的强度，也影响耐久性、经济性。因此，在进行配合比时应综合考虑，通过试验确定适宜的用量。在配合比设计阶段，应选取</w:t>
      </w:r>
      <w:r>
        <w:rPr>
          <w:rFonts w:hint="eastAsia"/>
          <w:color w:val="0D0D0D" w:themeColor="text1" w:themeTint="F2"/>
          <w:szCs w:val="21"/>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5种胶凝材料用量，针对每一种胶凝材料用量开展不同用水量下的试验研究，确定适宜的胶凝材料用量十分重要。根据以往胶结砂砾石工程应用经验，选取了守口堡水库、犍为防护堤、东阳水库、金鸡沟水库、西江水库等工程，统计了</w:t>
      </w:r>
      <w:r>
        <w:rPr>
          <w:rFonts w:hint="eastAsia"/>
          <w:color w:val="0D0D0D" w:themeColor="text1" w:themeTint="F2"/>
          <w:szCs w:val="21"/>
          <w14:textFill>
            <w14:solidFill>
              <w14:schemeClr w14:val="tx1">
                <w14:lumMod w14:val="95000"/>
                <w14:lumOff w14:val="5000"/>
              </w14:schemeClr>
            </w14:solidFill>
          </w14:textFill>
        </w:rPr>
        <w:t>6</w:t>
      </w:r>
      <w:r>
        <w:rPr>
          <w:color w:val="0D0D0D" w:themeColor="text1" w:themeTint="F2"/>
          <w:szCs w:val="21"/>
          <w14:textFill>
            <w14:solidFill>
              <w14:schemeClr w14:val="tx1">
                <w14:lumMod w14:val="95000"/>
                <w14:lumOff w14:val="5000"/>
              </w14:schemeClr>
            </w14:solidFill>
          </w14:textFill>
        </w:rPr>
        <w:t>7组数据，得到了不同强度等级胶结砂砾石的</w:t>
      </w:r>
      <w:r>
        <w:rPr>
          <w:rFonts w:hint="eastAsia"/>
          <w:color w:val="0D0D0D" w:themeColor="text1" w:themeTint="F2"/>
          <w:szCs w:val="21"/>
          <w14:textFill>
            <w14:solidFill>
              <w14:schemeClr w14:val="tx1">
                <w14:lumMod w14:val="95000"/>
                <w14:lumOff w14:val="5000"/>
              </w14:schemeClr>
            </w14:solidFill>
          </w14:textFill>
        </w:rPr>
        <w:t>胶凝</w:t>
      </w:r>
      <w:r>
        <w:rPr>
          <w:color w:val="0D0D0D" w:themeColor="text1" w:themeTint="F2"/>
          <w:szCs w:val="21"/>
          <w14:textFill>
            <w14:solidFill>
              <w14:schemeClr w14:val="tx1">
                <w14:lumMod w14:val="95000"/>
                <w14:lumOff w14:val="5000"/>
              </w14:schemeClr>
            </w14:solidFill>
          </w14:textFill>
        </w:rPr>
        <w:t>材料用量范围，如图</w:t>
      </w:r>
      <w:r>
        <w:rPr>
          <w:rFonts w:hint="eastAsia"/>
          <w:color w:val="0D0D0D" w:themeColor="text1" w:themeTint="F2"/>
          <w:szCs w:val="21"/>
          <w14:textFill>
            <w14:solidFill>
              <w14:schemeClr w14:val="tx1">
                <w14:lumMod w14:val="95000"/>
                <w14:lumOff w14:val="5000"/>
              </w14:schemeClr>
            </w14:solidFill>
          </w14:textFill>
        </w:rPr>
        <w:t>2</w:t>
      </w:r>
      <w:r>
        <w:rPr>
          <w:color w:val="0D0D0D" w:themeColor="text1" w:themeTint="F2"/>
          <w:szCs w:val="21"/>
          <w14:textFill>
            <w14:solidFill>
              <w14:schemeClr w14:val="tx1">
                <w14:lumMod w14:val="95000"/>
                <w14:lumOff w14:val="5000"/>
              </w14:schemeClr>
            </w14:solidFill>
          </w14:textFill>
        </w:rPr>
        <w:t>所示，根据该统计结果得到本条款中的建议范围。</w:t>
      </w:r>
    </w:p>
    <w:p w14:paraId="7C9B22F5">
      <w:pPr>
        <w:spacing w:line="360" w:lineRule="auto"/>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当具有类似工程试验资料的时，可适当减少胶凝材料用量的数量，但不得少于</w:t>
      </w:r>
      <w:r>
        <w:rPr>
          <w:rFonts w:hint="eastAsia"/>
          <w:color w:val="0D0D0D" w:themeColor="text1" w:themeTint="F2"/>
          <w:szCs w:val="21"/>
          <w14:textFill>
            <w14:solidFill>
              <w14:schemeClr w14:val="tx1">
                <w14:lumMod w14:val="95000"/>
                <w14:lumOff w14:val="5000"/>
              </w14:schemeClr>
            </w14:solidFill>
          </w14:textFill>
        </w:rPr>
        <w:t>2种。</w:t>
      </w:r>
    </w:p>
    <w:p w14:paraId="6FF353A0">
      <w:pPr>
        <w:spacing w:line="360" w:lineRule="auto"/>
        <w:ind w:firstLine="0" w:firstLineChars="0"/>
        <w:jc w:val="center"/>
        <w:rPr>
          <w:color w:val="0D0D0D" w:themeColor="text1" w:themeTint="F2"/>
          <w:szCs w:val="21"/>
          <w14:textFill>
            <w14:solidFill>
              <w14:schemeClr w14:val="tx1">
                <w14:lumMod w14:val="95000"/>
                <w14:lumOff w14:val="5000"/>
              </w14:schemeClr>
            </w14:solidFill>
          </w14:textFill>
        </w:rPr>
      </w:pPr>
      <w:r>
        <w:rPr>
          <w:rFonts w:hint="eastAsia"/>
        </w:rPr>
        <w:drawing>
          <wp:inline distT="0" distB="0" distL="0" distR="0">
            <wp:extent cx="3468370" cy="2520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a:extLst>
                        <a:ext uri="{28A0092B-C50C-407E-A947-70E740481C1C}">
                          <a14:useLocalDpi xmlns:a14="http://schemas.microsoft.com/office/drawing/2010/main" val="0"/>
                        </a:ext>
                      </a:extLst>
                    </a:blip>
                    <a:srcRect t="3082" b="2237"/>
                    <a:stretch>
                      <a:fillRect/>
                    </a:stretch>
                  </pic:blipFill>
                  <pic:spPr>
                    <a:xfrm>
                      <a:off x="0" y="0"/>
                      <a:ext cx="3476452" cy="2526054"/>
                    </a:xfrm>
                    <a:prstGeom prst="rect">
                      <a:avLst/>
                    </a:prstGeom>
                    <a:noFill/>
                    <a:ln>
                      <a:noFill/>
                    </a:ln>
                  </pic:spPr>
                </pic:pic>
              </a:graphicData>
            </a:graphic>
          </wp:inline>
        </w:drawing>
      </w:r>
    </w:p>
    <w:p w14:paraId="50D3C649">
      <w:pPr>
        <w:spacing w:line="360" w:lineRule="auto"/>
        <w:ind w:firstLine="0" w:firstLineChars="0"/>
        <w:jc w:val="center"/>
        <w:rPr>
          <w:b/>
          <w:bCs/>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图</w:t>
      </w:r>
      <w:r>
        <w:rPr>
          <w:rFonts w:hint="eastAsia"/>
          <w:b/>
          <w:bCs/>
          <w:color w:val="0D0D0D" w:themeColor="text1" w:themeTint="F2"/>
          <w:szCs w:val="21"/>
          <w14:textFill>
            <w14:solidFill>
              <w14:schemeClr w14:val="tx1">
                <w14:lumMod w14:val="95000"/>
                <w14:lumOff w14:val="5000"/>
              </w14:schemeClr>
            </w14:solidFill>
          </w14:textFill>
        </w:rPr>
        <w:t>2</w:t>
      </w:r>
      <w:r>
        <w:rPr>
          <w:b/>
          <w:bCs/>
          <w:color w:val="0D0D0D" w:themeColor="text1" w:themeTint="F2"/>
          <w:szCs w:val="21"/>
          <w14:textFill>
            <w14:solidFill>
              <w14:schemeClr w14:val="tx1">
                <w14:lumMod w14:val="95000"/>
                <w14:lumOff w14:val="5000"/>
              </w14:schemeClr>
            </w14:solidFill>
          </w14:textFill>
        </w:rPr>
        <w:t xml:space="preserve"> 180d龄期强度与</w:t>
      </w:r>
      <w:r>
        <w:rPr>
          <w:rFonts w:hint="eastAsia"/>
          <w:b/>
          <w:bCs/>
          <w:color w:val="0D0D0D" w:themeColor="text1" w:themeTint="F2"/>
          <w:szCs w:val="21"/>
          <w14:textFill>
            <w14:solidFill>
              <w14:schemeClr w14:val="tx1">
                <w14:lumMod w14:val="95000"/>
                <w14:lumOff w14:val="5000"/>
              </w14:schemeClr>
            </w14:solidFill>
          </w14:textFill>
        </w:rPr>
        <w:t>胶凝材料用量</w:t>
      </w:r>
      <w:r>
        <w:rPr>
          <w:b/>
          <w:bCs/>
          <w:color w:val="0D0D0D" w:themeColor="text1" w:themeTint="F2"/>
          <w:szCs w:val="21"/>
          <w14:textFill>
            <w14:solidFill>
              <w14:schemeClr w14:val="tx1">
                <w14:lumMod w14:val="95000"/>
                <w14:lumOff w14:val="5000"/>
              </w14:schemeClr>
            </w14:solidFill>
          </w14:textFill>
        </w:rPr>
        <w:t>关系</w:t>
      </w:r>
    </w:p>
    <w:p w14:paraId="42B2311A">
      <w:pPr>
        <w:spacing w:line="360" w:lineRule="auto"/>
        <w:ind w:firstLine="0" w:firstLineChars="0"/>
        <w:rPr>
          <w:color w:val="0D0D0D" w:themeColor="text1" w:themeTint="F2"/>
          <w:szCs w:val="21"/>
          <w14:textFill>
            <w14:solidFill>
              <w14:schemeClr w14:val="tx1">
                <w14:lumMod w14:val="95000"/>
                <w14:lumOff w14:val="5000"/>
              </w14:schemeClr>
            </w14:solidFill>
          </w14:textFill>
        </w:rPr>
      </w:pPr>
    </w:p>
    <w:p w14:paraId="707861EB">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rFonts w:hint="eastAsia"/>
          <w:b/>
          <w:color w:val="0D0D0D" w:themeColor="text1" w:themeTint="F2"/>
          <w:szCs w:val="21"/>
          <w14:textFill>
            <w14:solidFill>
              <w14:schemeClr w14:val="tx1">
                <w14:lumMod w14:val="95000"/>
                <w14:lumOff w14:val="5000"/>
              </w14:schemeClr>
            </w14:solidFill>
          </w14:textFill>
        </w:rPr>
        <w:t>5</w:t>
      </w:r>
      <w:r>
        <w:rPr>
          <w:b/>
          <w:color w:val="0D0D0D" w:themeColor="text1" w:themeTint="F2"/>
          <w:szCs w:val="21"/>
          <w14:textFill>
            <w14:solidFill>
              <w14:schemeClr w14:val="tx1">
                <w14:lumMod w14:val="95000"/>
                <w14:lumOff w14:val="5000"/>
              </w14:schemeClr>
            </w14:solidFill>
          </w14:textFill>
        </w:rPr>
        <w:t xml:space="preserve">.0.7 </w:t>
      </w:r>
      <w:r>
        <w:rPr>
          <w:color w:val="0D0D0D" w:themeColor="text1" w:themeTint="F2"/>
          <w:szCs w:val="21"/>
          <w14:textFill>
            <w14:solidFill>
              <w14:schemeClr w14:val="tx1">
                <w14:lumMod w14:val="95000"/>
                <w14:lumOff w14:val="5000"/>
              </w14:schemeClr>
            </w14:solidFill>
          </w14:textFill>
        </w:rPr>
        <w:t>胶结砂砾石强度与水胶比的关系受到砂砾石级配、含泥量等的影响不再符合保罗米公式，在配合比设计过程中不再使用“点”控制，因此，对于某一强度等级的胶结砂砾石在进行配合比设计时首先应确定的是适宜的水胶比范围，在该范围内，根据胶凝材料用量、砂砾石级配确定用水量展开配合比试验。根据以往胶结砂砾石工程应用经验，选取了守口堡水库、犍为防护堤、东阳水库、金鸡沟水库、西江水库等工程，统计了</w:t>
      </w:r>
      <w:r>
        <w:rPr>
          <w:rFonts w:hint="eastAsia"/>
          <w:color w:val="0D0D0D" w:themeColor="text1" w:themeTint="F2"/>
          <w:szCs w:val="21"/>
          <w14:textFill>
            <w14:solidFill>
              <w14:schemeClr w14:val="tx1">
                <w14:lumMod w14:val="95000"/>
                <w14:lumOff w14:val="5000"/>
              </w14:schemeClr>
            </w14:solidFill>
          </w14:textFill>
        </w:rPr>
        <w:t>6</w:t>
      </w:r>
      <w:r>
        <w:rPr>
          <w:color w:val="0D0D0D" w:themeColor="text1" w:themeTint="F2"/>
          <w:szCs w:val="21"/>
          <w14:textFill>
            <w14:solidFill>
              <w14:schemeClr w14:val="tx1">
                <w14:lumMod w14:val="95000"/>
                <w14:lumOff w14:val="5000"/>
              </w14:schemeClr>
            </w14:solidFill>
          </w14:textFill>
        </w:rPr>
        <w:t>8组数据，得到了不同强度等级胶结砂砾石的水胶比</w:t>
      </w:r>
      <w:r>
        <w:rPr>
          <w:rFonts w:hint="eastAsia"/>
          <w:color w:val="0D0D0D" w:themeColor="text1" w:themeTint="F2"/>
          <w:szCs w:val="21"/>
          <w14:textFill>
            <w14:solidFill>
              <w14:schemeClr w14:val="tx1">
                <w14:lumMod w14:val="95000"/>
                <w14:lumOff w14:val="5000"/>
              </w14:schemeClr>
            </w14:solidFill>
          </w14:textFill>
        </w:rPr>
        <w:t>控制</w:t>
      </w:r>
      <w:r>
        <w:rPr>
          <w:color w:val="0D0D0D" w:themeColor="text1" w:themeTint="F2"/>
          <w:szCs w:val="21"/>
          <w14:textFill>
            <w14:solidFill>
              <w14:schemeClr w14:val="tx1">
                <w14:lumMod w14:val="95000"/>
                <w14:lumOff w14:val="5000"/>
              </w14:schemeClr>
            </w14:solidFill>
          </w14:textFill>
        </w:rPr>
        <w:t>范围，如图</w:t>
      </w:r>
      <w:r>
        <w:rPr>
          <w:rFonts w:hint="eastAsia"/>
          <w:color w:val="0D0D0D" w:themeColor="text1" w:themeTint="F2"/>
          <w:szCs w:val="21"/>
          <w14:textFill>
            <w14:solidFill>
              <w14:schemeClr w14:val="tx1">
                <w14:lumMod w14:val="95000"/>
                <w14:lumOff w14:val="5000"/>
              </w14:schemeClr>
            </w14:solidFill>
          </w14:textFill>
        </w:rPr>
        <w:t>3</w:t>
      </w:r>
      <w:r>
        <w:rPr>
          <w:color w:val="0D0D0D" w:themeColor="text1" w:themeTint="F2"/>
          <w:szCs w:val="21"/>
          <w14:textFill>
            <w14:solidFill>
              <w14:schemeClr w14:val="tx1">
                <w14:lumMod w14:val="95000"/>
                <w14:lumOff w14:val="5000"/>
              </w14:schemeClr>
            </w14:solidFill>
          </w14:textFill>
        </w:rPr>
        <w:t>所示，根据该统计结果得到本条款中的建议范围。</w:t>
      </w:r>
    </w:p>
    <w:p w14:paraId="141A6C26">
      <w:pPr>
        <w:spacing w:line="360" w:lineRule="auto"/>
        <w:ind w:firstLine="0" w:firstLineChars="0"/>
        <w:jc w:val="center"/>
        <w:rPr>
          <w:b/>
          <w:color w:val="0D0D0D" w:themeColor="text1" w:themeTint="F2"/>
          <w:szCs w:val="21"/>
          <w14:textFill>
            <w14:solidFill>
              <w14:schemeClr w14:val="tx1">
                <w14:lumMod w14:val="95000"/>
                <w14:lumOff w14:val="5000"/>
              </w14:schemeClr>
            </w14:solidFill>
          </w14:textFill>
        </w:rPr>
      </w:pPr>
      <w:r>
        <w:rPr>
          <w:rFonts w:hint="eastAsia"/>
        </w:rPr>
        <w:drawing>
          <wp:inline distT="0" distB="0" distL="0" distR="0">
            <wp:extent cx="3639820" cy="273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a:extLst>
                        <a:ext uri="{28A0092B-C50C-407E-A947-70E740481C1C}">
                          <a14:useLocalDpi xmlns:a14="http://schemas.microsoft.com/office/drawing/2010/main" val="0"/>
                        </a:ext>
                      </a:extLst>
                    </a:blip>
                    <a:srcRect b="2005"/>
                    <a:stretch>
                      <a:fillRect/>
                    </a:stretch>
                  </pic:blipFill>
                  <pic:spPr>
                    <a:xfrm>
                      <a:off x="0" y="0"/>
                      <a:ext cx="3645355" cy="2741501"/>
                    </a:xfrm>
                    <a:prstGeom prst="rect">
                      <a:avLst/>
                    </a:prstGeom>
                    <a:noFill/>
                    <a:ln>
                      <a:noFill/>
                    </a:ln>
                  </pic:spPr>
                </pic:pic>
              </a:graphicData>
            </a:graphic>
          </wp:inline>
        </w:drawing>
      </w:r>
    </w:p>
    <w:p w14:paraId="138F6231">
      <w:pPr>
        <w:spacing w:line="360" w:lineRule="auto"/>
        <w:ind w:firstLine="0" w:firstLineChars="0"/>
        <w:jc w:val="center"/>
        <w:rPr>
          <w:b/>
          <w:bCs/>
          <w:color w:val="0D0D0D" w:themeColor="text1" w:themeTint="F2"/>
          <w:szCs w:val="21"/>
          <w14:textFill>
            <w14:solidFill>
              <w14:schemeClr w14:val="tx1">
                <w14:lumMod w14:val="95000"/>
                <w14:lumOff w14:val="5000"/>
              </w14:schemeClr>
            </w14:solidFill>
          </w14:textFill>
        </w:rPr>
      </w:pPr>
      <w:r>
        <w:rPr>
          <w:b/>
          <w:bCs/>
          <w:color w:val="0D0D0D" w:themeColor="text1" w:themeTint="F2"/>
          <w:szCs w:val="21"/>
          <w14:textFill>
            <w14:solidFill>
              <w14:schemeClr w14:val="tx1">
                <w14:lumMod w14:val="95000"/>
                <w14:lumOff w14:val="5000"/>
              </w14:schemeClr>
            </w14:solidFill>
          </w14:textFill>
        </w:rPr>
        <w:t>图</w:t>
      </w:r>
      <w:r>
        <w:rPr>
          <w:rFonts w:hint="eastAsia"/>
          <w:b/>
          <w:bCs/>
          <w:color w:val="0D0D0D" w:themeColor="text1" w:themeTint="F2"/>
          <w:szCs w:val="21"/>
          <w14:textFill>
            <w14:solidFill>
              <w14:schemeClr w14:val="tx1">
                <w14:lumMod w14:val="95000"/>
                <w14:lumOff w14:val="5000"/>
              </w14:schemeClr>
            </w14:solidFill>
          </w14:textFill>
        </w:rPr>
        <w:t>3</w:t>
      </w:r>
      <w:r>
        <w:rPr>
          <w:b/>
          <w:bCs/>
          <w:color w:val="0D0D0D" w:themeColor="text1" w:themeTint="F2"/>
          <w:szCs w:val="21"/>
          <w14:textFill>
            <w14:solidFill>
              <w14:schemeClr w14:val="tx1">
                <w14:lumMod w14:val="95000"/>
                <w14:lumOff w14:val="5000"/>
              </w14:schemeClr>
            </w14:solidFill>
          </w14:textFill>
        </w:rPr>
        <w:t xml:space="preserve"> 180d龄期强度与水胶比关系</w:t>
      </w:r>
    </w:p>
    <w:p w14:paraId="7134ABAF">
      <w:pPr>
        <w:spacing w:line="360" w:lineRule="auto"/>
        <w:ind w:firstLine="0" w:firstLineChars="0"/>
        <w:rPr>
          <w:color w:val="0D0D0D" w:themeColor="text1" w:themeTint="F2"/>
          <w:szCs w:val="21"/>
          <w14:textFill>
            <w14:solidFill>
              <w14:schemeClr w14:val="tx1">
                <w14:lumMod w14:val="95000"/>
                <w14:lumOff w14:val="5000"/>
              </w14:schemeClr>
            </w14:solidFill>
          </w14:textFill>
        </w:rPr>
      </w:pPr>
      <w:r>
        <w:rPr>
          <w:b/>
          <w:color w:val="0D0D0D" w:themeColor="text1" w:themeTint="F2"/>
          <w:szCs w:val="21"/>
          <w14:textFill>
            <w14:solidFill>
              <w14:schemeClr w14:val="tx1">
                <w14:lumMod w14:val="95000"/>
                <w14:lumOff w14:val="5000"/>
              </w14:schemeClr>
            </w14:solidFill>
          </w14:textFill>
        </w:rPr>
        <w:t>5.0.8</w:t>
      </w:r>
      <w:r>
        <w:rPr>
          <w:color w:val="0D0D0D" w:themeColor="text1" w:themeTint="F2"/>
          <w:szCs w:val="21"/>
          <w14:textFill>
            <w14:solidFill>
              <w14:schemeClr w14:val="tx1">
                <w14:lumMod w14:val="95000"/>
                <w14:lumOff w14:val="5000"/>
              </w14:schemeClr>
            </w14:solidFill>
          </w14:textFill>
        </w:rPr>
        <w:t xml:space="preserve"> 本条款规定配合比设计试验中，“配合比控制范围”中平</w:t>
      </w:r>
      <w:bookmarkStart w:id="69" w:name="_GoBack"/>
      <w:bookmarkEnd w:id="69"/>
      <w:r>
        <w:rPr>
          <w:color w:val="0D0D0D" w:themeColor="text1" w:themeTint="F2"/>
          <w:szCs w:val="21"/>
          <w14:textFill>
            <w14:solidFill>
              <w14:schemeClr w14:val="tx1">
                <w14:lumMod w14:val="95000"/>
                <w14:lumOff w14:val="5000"/>
              </w14:schemeClr>
            </w14:solidFill>
          </w14:textFill>
        </w:rPr>
        <w:t>均级配胶结砂砾石强度最小值应满足配制强度要求。由于实际施工中砂砾石含水率和级配分布广，因此无法固定用水量。即使水泥用量和压实度等保持固定，由于级配和用水量的变化，强度也会随之变化。为解决这一问题，本导则同时规定“配合比控制范围”中胶结砂砾石的最低强度不应低于设计强度，在此范围内不同用水量的任何级配的胶结砂砾石均可以获得更高的强度。若施工中将砂砾石级配控制在一个较窄范围内，或通过更准确的检测砂砾石的级配、吸水率及表面含水率，将用水量控制在较窄范围时，则胶结砂砾石最低强度将会提高。如果以上原则能严格执行，能控制砂砾石级配和用水量为固定值，则砂砾石级配、用水量与强度的关系将为点控制，就这相当于混凝土的概念，即骨料清洗，级配筛分，用水量固定，从而获得最大的混凝土强度，体现了级配、用水量和强度的点对应关系。显然，边界控制或面控制级配和用水量是专门针对胶结砂砾石的，其不同于混凝土的点控制。这也是胶结砂砾石和混凝土的最大区别之一。</w:t>
      </w:r>
    </w:p>
    <w:bookmarkEnd w:id="66"/>
    <w:p w14:paraId="04055779">
      <w:pPr>
        <w:pStyle w:val="2"/>
        <w:spacing w:before="156" w:after="156"/>
        <w:ind w:firstLine="562"/>
        <w:rPr>
          <w:i/>
          <w:color w:val="0D0D0D" w:themeColor="text1" w:themeTint="F2"/>
          <w14:textFill>
            <w14:solidFill>
              <w14:schemeClr w14:val="tx1">
                <w14:lumMod w14:val="95000"/>
                <w14:lumOff w14:val="5000"/>
              </w14:schemeClr>
            </w14:solidFill>
          </w14:textFill>
        </w:rPr>
      </w:pPr>
      <w:bookmarkStart w:id="67" w:name="_Toc199247358"/>
      <w:bookmarkStart w:id="68" w:name="_Toc199246901"/>
      <w:r>
        <w:rPr>
          <w:color w:val="0D0D0D" w:themeColor="text1" w:themeTint="F2"/>
          <w14:textFill>
            <w14:solidFill>
              <w14:schemeClr w14:val="tx1">
                <w14:lumMod w14:val="95000"/>
                <w14:lumOff w14:val="5000"/>
              </w14:schemeClr>
            </w14:solidFill>
          </w14:textFill>
        </w:rPr>
        <w:t>6 配合比的试配、调整和确定</w:t>
      </w:r>
      <w:bookmarkEnd w:id="67"/>
      <w:bookmarkEnd w:id="68"/>
    </w:p>
    <w:p w14:paraId="441DE77C">
      <w:pPr>
        <w:spacing w:line="360" w:lineRule="auto"/>
        <w:ind w:firstLine="420"/>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胶结砂砾石单位用水量主要取决于砂砾石的天然级配、施工VC值、胶结砂砾石强度要求、以及外加剂使用情况等因素。由于砂砾石材料级配分布广，级配和开挖条件等不同，砂砾石表层含水也不同。因此砂砾石级配的变化很难使用水量保持固定。理论上，通过跟踪砂砾石级配和含水量变化，可以固定用水量，但这个方法不现实，难以实现。因此，不同于混凝土，胶结砂砾石的单位用水量及水胶比是随着砂砾石级配的波动而波动的，因此，其单位用水量和水胶比都有一个适宜的范围，而混凝土骨料级配和用水量均可以控制在一个固定水平。</w:t>
      </w:r>
    </w:p>
    <w:p w14:paraId="0987E875">
      <w:pPr>
        <w:spacing w:line="360" w:lineRule="auto"/>
        <w:ind w:firstLine="420"/>
        <w:rPr>
          <w:color w:val="0D0D0D" w:themeColor="text1" w:themeTint="F2"/>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对于普通胶结砂砾石一般无耐久性的要求，对于用于垫层和保护层的富浆胶结砂砾石有耐久性要求，需参照相关规范要求确定合理的水胶比以满足工程设计要求。</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Dotum">
    <w:altName w:val="Malgun Gothic"/>
    <w:panose1 w:val="020B0600000101010101"/>
    <w:charset w:val="81"/>
    <w:family w:val="swiss"/>
    <w:pitch w:val="default"/>
    <w:sig w:usb0="00000000" w:usb1="00000000" w:usb2="00000030" w:usb3="00000000" w:csb0="0008009F" w:csb1="00000000"/>
  </w:font>
  <w:font w:name="돋움">
    <w:altName w:val="Roman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F93C6">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27538">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7BD98">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4DEA2">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2063972"/>
    </w:sdtPr>
    <w:sdtContent>
      <w:p w14:paraId="23B29546">
        <w:pPr>
          <w:pStyle w:val="17"/>
          <w:ind w:firstLine="360"/>
          <w:jc w:val="center"/>
        </w:pPr>
        <w:r>
          <w:fldChar w:fldCharType="begin"/>
        </w:r>
        <w:r>
          <w:instrText xml:space="preserve">PAGE   \* MERGEFORMAT</w:instrText>
        </w:r>
        <w:r>
          <w:fldChar w:fldCharType="separate"/>
        </w:r>
        <w:r>
          <w:rPr>
            <w:lang w:val="zh-CN"/>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27937">
    <w:pPr>
      <w:pStyle w:val="1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E5B36">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83488">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E60"/>
    <w:rsid w:val="00002F1C"/>
    <w:rsid w:val="00010AA3"/>
    <w:rsid w:val="000247E9"/>
    <w:rsid w:val="000312E1"/>
    <w:rsid w:val="0003301F"/>
    <w:rsid w:val="0003543D"/>
    <w:rsid w:val="00037887"/>
    <w:rsid w:val="000378EA"/>
    <w:rsid w:val="00040AB0"/>
    <w:rsid w:val="00062C2E"/>
    <w:rsid w:val="000743B2"/>
    <w:rsid w:val="000965DD"/>
    <w:rsid w:val="00097B24"/>
    <w:rsid w:val="000B6554"/>
    <w:rsid w:val="00122ED9"/>
    <w:rsid w:val="001233A8"/>
    <w:rsid w:val="00145566"/>
    <w:rsid w:val="00150055"/>
    <w:rsid w:val="00154950"/>
    <w:rsid w:val="0016178B"/>
    <w:rsid w:val="0016778F"/>
    <w:rsid w:val="00182236"/>
    <w:rsid w:val="001A694F"/>
    <w:rsid w:val="001D7206"/>
    <w:rsid w:val="001E42EF"/>
    <w:rsid w:val="001E4AC0"/>
    <w:rsid w:val="001F16A8"/>
    <w:rsid w:val="001F1702"/>
    <w:rsid w:val="001F31E5"/>
    <w:rsid w:val="001F3B36"/>
    <w:rsid w:val="0020253B"/>
    <w:rsid w:val="00220843"/>
    <w:rsid w:val="00222A64"/>
    <w:rsid w:val="002257FF"/>
    <w:rsid w:val="00237462"/>
    <w:rsid w:val="002413D0"/>
    <w:rsid w:val="00247C5E"/>
    <w:rsid w:val="00256774"/>
    <w:rsid w:val="0026271E"/>
    <w:rsid w:val="00263310"/>
    <w:rsid w:val="00264660"/>
    <w:rsid w:val="00276D63"/>
    <w:rsid w:val="002812B6"/>
    <w:rsid w:val="002921A8"/>
    <w:rsid w:val="002954CB"/>
    <w:rsid w:val="002955DC"/>
    <w:rsid w:val="002A3191"/>
    <w:rsid w:val="002A4892"/>
    <w:rsid w:val="002A56A2"/>
    <w:rsid w:val="002B37FF"/>
    <w:rsid w:val="002C50C1"/>
    <w:rsid w:val="002D1C6B"/>
    <w:rsid w:val="002E10D4"/>
    <w:rsid w:val="002E3981"/>
    <w:rsid w:val="00300412"/>
    <w:rsid w:val="00302280"/>
    <w:rsid w:val="00304FB7"/>
    <w:rsid w:val="00311510"/>
    <w:rsid w:val="0031338F"/>
    <w:rsid w:val="00314FA7"/>
    <w:rsid w:val="00323525"/>
    <w:rsid w:val="003236F3"/>
    <w:rsid w:val="00326988"/>
    <w:rsid w:val="00335082"/>
    <w:rsid w:val="00347303"/>
    <w:rsid w:val="00347FF6"/>
    <w:rsid w:val="00356B2D"/>
    <w:rsid w:val="00372C02"/>
    <w:rsid w:val="0037353A"/>
    <w:rsid w:val="0037371D"/>
    <w:rsid w:val="00397231"/>
    <w:rsid w:val="003A0C94"/>
    <w:rsid w:val="003A1162"/>
    <w:rsid w:val="003A13B3"/>
    <w:rsid w:val="003A4963"/>
    <w:rsid w:val="003B2CA5"/>
    <w:rsid w:val="003B78D7"/>
    <w:rsid w:val="003C1592"/>
    <w:rsid w:val="003C1C73"/>
    <w:rsid w:val="003C2226"/>
    <w:rsid w:val="003D0FB2"/>
    <w:rsid w:val="003E4704"/>
    <w:rsid w:val="003F178B"/>
    <w:rsid w:val="003F4463"/>
    <w:rsid w:val="003F4A34"/>
    <w:rsid w:val="003F6029"/>
    <w:rsid w:val="00407534"/>
    <w:rsid w:val="004155C9"/>
    <w:rsid w:val="00415745"/>
    <w:rsid w:val="004179B2"/>
    <w:rsid w:val="00421DE7"/>
    <w:rsid w:val="0042707C"/>
    <w:rsid w:val="00427D03"/>
    <w:rsid w:val="004307AC"/>
    <w:rsid w:val="004418EA"/>
    <w:rsid w:val="0044428F"/>
    <w:rsid w:val="00454346"/>
    <w:rsid w:val="00462123"/>
    <w:rsid w:val="00463C76"/>
    <w:rsid w:val="004640B2"/>
    <w:rsid w:val="004740D4"/>
    <w:rsid w:val="00481C9E"/>
    <w:rsid w:val="00482971"/>
    <w:rsid w:val="00483004"/>
    <w:rsid w:val="00487CBE"/>
    <w:rsid w:val="004A7F7A"/>
    <w:rsid w:val="004B0A99"/>
    <w:rsid w:val="004B2904"/>
    <w:rsid w:val="004B35FD"/>
    <w:rsid w:val="004C00B5"/>
    <w:rsid w:val="004C6A75"/>
    <w:rsid w:val="004D1355"/>
    <w:rsid w:val="004D2D22"/>
    <w:rsid w:val="004D5B19"/>
    <w:rsid w:val="004F2037"/>
    <w:rsid w:val="004F4710"/>
    <w:rsid w:val="004F5132"/>
    <w:rsid w:val="004F5D60"/>
    <w:rsid w:val="005261D1"/>
    <w:rsid w:val="005300BC"/>
    <w:rsid w:val="0053019F"/>
    <w:rsid w:val="005301A0"/>
    <w:rsid w:val="00533846"/>
    <w:rsid w:val="00553A06"/>
    <w:rsid w:val="00561DB9"/>
    <w:rsid w:val="00561E4D"/>
    <w:rsid w:val="00563847"/>
    <w:rsid w:val="00570FCE"/>
    <w:rsid w:val="00571C75"/>
    <w:rsid w:val="005738E7"/>
    <w:rsid w:val="00581C21"/>
    <w:rsid w:val="00584978"/>
    <w:rsid w:val="00584C6E"/>
    <w:rsid w:val="00586C01"/>
    <w:rsid w:val="00594583"/>
    <w:rsid w:val="005A0306"/>
    <w:rsid w:val="005B0A23"/>
    <w:rsid w:val="005B1574"/>
    <w:rsid w:val="005B6A57"/>
    <w:rsid w:val="005B7327"/>
    <w:rsid w:val="005C1943"/>
    <w:rsid w:val="005C7893"/>
    <w:rsid w:val="005F19A1"/>
    <w:rsid w:val="005F3B19"/>
    <w:rsid w:val="005F467D"/>
    <w:rsid w:val="005F63C1"/>
    <w:rsid w:val="00600A5D"/>
    <w:rsid w:val="00600A87"/>
    <w:rsid w:val="00600DB9"/>
    <w:rsid w:val="006078C3"/>
    <w:rsid w:val="006106C4"/>
    <w:rsid w:val="006165B2"/>
    <w:rsid w:val="006210EA"/>
    <w:rsid w:val="00622781"/>
    <w:rsid w:val="006233E5"/>
    <w:rsid w:val="00624C81"/>
    <w:rsid w:val="0063512D"/>
    <w:rsid w:val="006371D8"/>
    <w:rsid w:val="006413E6"/>
    <w:rsid w:val="00647593"/>
    <w:rsid w:val="00653AF8"/>
    <w:rsid w:val="00660506"/>
    <w:rsid w:val="00660BD0"/>
    <w:rsid w:val="00670EF0"/>
    <w:rsid w:val="00672E3C"/>
    <w:rsid w:val="00675B2A"/>
    <w:rsid w:val="00683314"/>
    <w:rsid w:val="00683703"/>
    <w:rsid w:val="006865B6"/>
    <w:rsid w:val="00687DEF"/>
    <w:rsid w:val="00693384"/>
    <w:rsid w:val="0069585E"/>
    <w:rsid w:val="0069586D"/>
    <w:rsid w:val="006B0213"/>
    <w:rsid w:val="006B13C3"/>
    <w:rsid w:val="006B4C57"/>
    <w:rsid w:val="006C0986"/>
    <w:rsid w:val="006C3BC7"/>
    <w:rsid w:val="006C4203"/>
    <w:rsid w:val="006C457C"/>
    <w:rsid w:val="006D1EC1"/>
    <w:rsid w:val="006E2C48"/>
    <w:rsid w:val="006E6AE0"/>
    <w:rsid w:val="006E741C"/>
    <w:rsid w:val="006F4481"/>
    <w:rsid w:val="00704F6D"/>
    <w:rsid w:val="00705C80"/>
    <w:rsid w:val="007103E8"/>
    <w:rsid w:val="00710A3B"/>
    <w:rsid w:val="00725CE4"/>
    <w:rsid w:val="00736E8E"/>
    <w:rsid w:val="00741E79"/>
    <w:rsid w:val="00752BE2"/>
    <w:rsid w:val="0076408D"/>
    <w:rsid w:val="00764E7E"/>
    <w:rsid w:val="00765652"/>
    <w:rsid w:val="00772BB7"/>
    <w:rsid w:val="0077634C"/>
    <w:rsid w:val="00793B87"/>
    <w:rsid w:val="00795E60"/>
    <w:rsid w:val="007A6A88"/>
    <w:rsid w:val="007B0696"/>
    <w:rsid w:val="007C13CD"/>
    <w:rsid w:val="007D2EE3"/>
    <w:rsid w:val="007D61EC"/>
    <w:rsid w:val="007D65BD"/>
    <w:rsid w:val="007E03B6"/>
    <w:rsid w:val="007E1A56"/>
    <w:rsid w:val="00812CA9"/>
    <w:rsid w:val="0082234D"/>
    <w:rsid w:val="008378C1"/>
    <w:rsid w:val="008413A5"/>
    <w:rsid w:val="008440E0"/>
    <w:rsid w:val="00846368"/>
    <w:rsid w:val="008465DE"/>
    <w:rsid w:val="0085042E"/>
    <w:rsid w:val="00855023"/>
    <w:rsid w:val="008625C0"/>
    <w:rsid w:val="00863C7C"/>
    <w:rsid w:val="00883630"/>
    <w:rsid w:val="008A079E"/>
    <w:rsid w:val="008B5EFD"/>
    <w:rsid w:val="008C21FA"/>
    <w:rsid w:val="008D549F"/>
    <w:rsid w:val="008D7192"/>
    <w:rsid w:val="008E203F"/>
    <w:rsid w:val="00912595"/>
    <w:rsid w:val="0091319E"/>
    <w:rsid w:val="00922273"/>
    <w:rsid w:val="00923157"/>
    <w:rsid w:val="00924BF0"/>
    <w:rsid w:val="0092767D"/>
    <w:rsid w:val="0093357F"/>
    <w:rsid w:val="00945940"/>
    <w:rsid w:val="0094737F"/>
    <w:rsid w:val="00953078"/>
    <w:rsid w:val="0095332F"/>
    <w:rsid w:val="00955232"/>
    <w:rsid w:val="00970B72"/>
    <w:rsid w:val="0097380D"/>
    <w:rsid w:val="00975277"/>
    <w:rsid w:val="009762BC"/>
    <w:rsid w:val="00980D50"/>
    <w:rsid w:val="0098481F"/>
    <w:rsid w:val="009860A6"/>
    <w:rsid w:val="009920F7"/>
    <w:rsid w:val="00997C0D"/>
    <w:rsid w:val="009A3490"/>
    <w:rsid w:val="009B3232"/>
    <w:rsid w:val="009C20AC"/>
    <w:rsid w:val="009C279D"/>
    <w:rsid w:val="009C6790"/>
    <w:rsid w:val="009D2478"/>
    <w:rsid w:val="009D71EC"/>
    <w:rsid w:val="009D71F4"/>
    <w:rsid w:val="009E489D"/>
    <w:rsid w:val="00A03CFE"/>
    <w:rsid w:val="00A231FA"/>
    <w:rsid w:val="00A2394F"/>
    <w:rsid w:val="00A23A78"/>
    <w:rsid w:val="00A253B0"/>
    <w:rsid w:val="00A253E7"/>
    <w:rsid w:val="00A34E48"/>
    <w:rsid w:val="00A3606B"/>
    <w:rsid w:val="00A36CFC"/>
    <w:rsid w:val="00A42840"/>
    <w:rsid w:val="00A431BC"/>
    <w:rsid w:val="00A440D1"/>
    <w:rsid w:val="00A518C4"/>
    <w:rsid w:val="00A54271"/>
    <w:rsid w:val="00A57ADC"/>
    <w:rsid w:val="00A64B13"/>
    <w:rsid w:val="00A735FB"/>
    <w:rsid w:val="00A743EA"/>
    <w:rsid w:val="00A75FAC"/>
    <w:rsid w:val="00A84D95"/>
    <w:rsid w:val="00A9161C"/>
    <w:rsid w:val="00A91D7F"/>
    <w:rsid w:val="00A934B5"/>
    <w:rsid w:val="00A93DFC"/>
    <w:rsid w:val="00AB1E3C"/>
    <w:rsid w:val="00AB5E36"/>
    <w:rsid w:val="00AB6884"/>
    <w:rsid w:val="00AC00B8"/>
    <w:rsid w:val="00AC080B"/>
    <w:rsid w:val="00AD2B20"/>
    <w:rsid w:val="00AD4EE4"/>
    <w:rsid w:val="00AE175A"/>
    <w:rsid w:val="00AE20BE"/>
    <w:rsid w:val="00AE7564"/>
    <w:rsid w:val="00B01301"/>
    <w:rsid w:val="00B03B6E"/>
    <w:rsid w:val="00B03DAB"/>
    <w:rsid w:val="00B154B8"/>
    <w:rsid w:val="00B20122"/>
    <w:rsid w:val="00B27A7C"/>
    <w:rsid w:val="00B31335"/>
    <w:rsid w:val="00B32160"/>
    <w:rsid w:val="00B32AEF"/>
    <w:rsid w:val="00B41B25"/>
    <w:rsid w:val="00B45119"/>
    <w:rsid w:val="00B50C89"/>
    <w:rsid w:val="00B52272"/>
    <w:rsid w:val="00B5262F"/>
    <w:rsid w:val="00B53F4E"/>
    <w:rsid w:val="00B53F91"/>
    <w:rsid w:val="00B54672"/>
    <w:rsid w:val="00B57A95"/>
    <w:rsid w:val="00B57F7E"/>
    <w:rsid w:val="00B734F5"/>
    <w:rsid w:val="00B862EC"/>
    <w:rsid w:val="00B86AEE"/>
    <w:rsid w:val="00B94F69"/>
    <w:rsid w:val="00BB04F0"/>
    <w:rsid w:val="00BB28EA"/>
    <w:rsid w:val="00BB3966"/>
    <w:rsid w:val="00BB3F08"/>
    <w:rsid w:val="00BB587B"/>
    <w:rsid w:val="00BD3A05"/>
    <w:rsid w:val="00BD5250"/>
    <w:rsid w:val="00BD5CF9"/>
    <w:rsid w:val="00BD7A43"/>
    <w:rsid w:val="00BE4C43"/>
    <w:rsid w:val="00BE5153"/>
    <w:rsid w:val="00BF078C"/>
    <w:rsid w:val="00BF4B86"/>
    <w:rsid w:val="00C03333"/>
    <w:rsid w:val="00C03918"/>
    <w:rsid w:val="00C12BB0"/>
    <w:rsid w:val="00C24542"/>
    <w:rsid w:val="00C26342"/>
    <w:rsid w:val="00C34694"/>
    <w:rsid w:val="00C40528"/>
    <w:rsid w:val="00C40E51"/>
    <w:rsid w:val="00C47743"/>
    <w:rsid w:val="00C479CD"/>
    <w:rsid w:val="00C52F63"/>
    <w:rsid w:val="00C555A8"/>
    <w:rsid w:val="00C60136"/>
    <w:rsid w:val="00C64E8A"/>
    <w:rsid w:val="00C719EF"/>
    <w:rsid w:val="00C760FB"/>
    <w:rsid w:val="00C82B02"/>
    <w:rsid w:val="00C82C7D"/>
    <w:rsid w:val="00C856AF"/>
    <w:rsid w:val="00C86BF4"/>
    <w:rsid w:val="00C939CA"/>
    <w:rsid w:val="00CA456B"/>
    <w:rsid w:val="00CA6F85"/>
    <w:rsid w:val="00CB17FC"/>
    <w:rsid w:val="00CC1AE3"/>
    <w:rsid w:val="00CD277A"/>
    <w:rsid w:val="00CE1663"/>
    <w:rsid w:val="00D02041"/>
    <w:rsid w:val="00D21D46"/>
    <w:rsid w:val="00D21D86"/>
    <w:rsid w:val="00D23EBF"/>
    <w:rsid w:val="00D24C72"/>
    <w:rsid w:val="00D24DD5"/>
    <w:rsid w:val="00D35D43"/>
    <w:rsid w:val="00D361E9"/>
    <w:rsid w:val="00D36CA0"/>
    <w:rsid w:val="00D37DC8"/>
    <w:rsid w:val="00D5630E"/>
    <w:rsid w:val="00D632C1"/>
    <w:rsid w:val="00D662F2"/>
    <w:rsid w:val="00D742D5"/>
    <w:rsid w:val="00D81C4A"/>
    <w:rsid w:val="00D949FF"/>
    <w:rsid w:val="00DA076C"/>
    <w:rsid w:val="00DB0575"/>
    <w:rsid w:val="00DB18E3"/>
    <w:rsid w:val="00DC225C"/>
    <w:rsid w:val="00DC4188"/>
    <w:rsid w:val="00DC5131"/>
    <w:rsid w:val="00DD132F"/>
    <w:rsid w:val="00DD1F64"/>
    <w:rsid w:val="00DD339B"/>
    <w:rsid w:val="00DD48D2"/>
    <w:rsid w:val="00DE18DF"/>
    <w:rsid w:val="00DF6267"/>
    <w:rsid w:val="00E12F60"/>
    <w:rsid w:val="00E21A68"/>
    <w:rsid w:val="00E43BEC"/>
    <w:rsid w:val="00E55C88"/>
    <w:rsid w:val="00E579CC"/>
    <w:rsid w:val="00E63870"/>
    <w:rsid w:val="00E80A3B"/>
    <w:rsid w:val="00E87711"/>
    <w:rsid w:val="00E95FFC"/>
    <w:rsid w:val="00EA03B0"/>
    <w:rsid w:val="00EA5566"/>
    <w:rsid w:val="00EB1B43"/>
    <w:rsid w:val="00EB7449"/>
    <w:rsid w:val="00ED053F"/>
    <w:rsid w:val="00ED11A9"/>
    <w:rsid w:val="00ED755B"/>
    <w:rsid w:val="00EE0CF8"/>
    <w:rsid w:val="00EE25F9"/>
    <w:rsid w:val="00EE5A3D"/>
    <w:rsid w:val="00EF187E"/>
    <w:rsid w:val="00EF5D34"/>
    <w:rsid w:val="00F033F9"/>
    <w:rsid w:val="00F041CE"/>
    <w:rsid w:val="00F10D1D"/>
    <w:rsid w:val="00F12D98"/>
    <w:rsid w:val="00F15D35"/>
    <w:rsid w:val="00F37044"/>
    <w:rsid w:val="00F371AE"/>
    <w:rsid w:val="00F37228"/>
    <w:rsid w:val="00F44399"/>
    <w:rsid w:val="00F52A42"/>
    <w:rsid w:val="00F625F0"/>
    <w:rsid w:val="00F63C3B"/>
    <w:rsid w:val="00F7032E"/>
    <w:rsid w:val="00F70AC5"/>
    <w:rsid w:val="00F7118D"/>
    <w:rsid w:val="00F925BE"/>
    <w:rsid w:val="00F92DCF"/>
    <w:rsid w:val="00FA2E49"/>
    <w:rsid w:val="00FB0E36"/>
    <w:rsid w:val="00FC1707"/>
    <w:rsid w:val="00FD05D2"/>
    <w:rsid w:val="00FD12D6"/>
    <w:rsid w:val="00FD4CC8"/>
    <w:rsid w:val="00FF1735"/>
    <w:rsid w:val="00FF27B8"/>
    <w:rsid w:val="00FF594F"/>
    <w:rsid w:val="00FF6405"/>
    <w:rsid w:val="00FF6FF2"/>
    <w:rsid w:val="078A1F36"/>
    <w:rsid w:val="080349D4"/>
    <w:rsid w:val="08B55224"/>
    <w:rsid w:val="14A776CC"/>
    <w:rsid w:val="15B53689"/>
    <w:rsid w:val="16C8152B"/>
    <w:rsid w:val="1E256F79"/>
    <w:rsid w:val="209D6564"/>
    <w:rsid w:val="21692363"/>
    <w:rsid w:val="28E864B9"/>
    <w:rsid w:val="2A256AFA"/>
    <w:rsid w:val="2B7000E8"/>
    <w:rsid w:val="2F174650"/>
    <w:rsid w:val="3015180E"/>
    <w:rsid w:val="368D76F2"/>
    <w:rsid w:val="3728310B"/>
    <w:rsid w:val="39154023"/>
    <w:rsid w:val="3A522952"/>
    <w:rsid w:val="3C202BC4"/>
    <w:rsid w:val="3CEF0B3D"/>
    <w:rsid w:val="3E193968"/>
    <w:rsid w:val="3E823698"/>
    <w:rsid w:val="42AA0A6E"/>
    <w:rsid w:val="44C3410B"/>
    <w:rsid w:val="45216CC6"/>
    <w:rsid w:val="4F695F43"/>
    <w:rsid w:val="505A4B45"/>
    <w:rsid w:val="51184A75"/>
    <w:rsid w:val="521031D7"/>
    <w:rsid w:val="538A2752"/>
    <w:rsid w:val="55A95AA9"/>
    <w:rsid w:val="55DD5045"/>
    <w:rsid w:val="5BF80B27"/>
    <w:rsid w:val="5E3E4A8F"/>
    <w:rsid w:val="5ECB634B"/>
    <w:rsid w:val="60573277"/>
    <w:rsid w:val="62013BFC"/>
    <w:rsid w:val="646F493B"/>
    <w:rsid w:val="683545F4"/>
    <w:rsid w:val="6D4314CF"/>
    <w:rsid w:val="6D446AA2"/>
    <w:rsid w:val="6EAF7FF1"/>
    <w:rsid w:val="715B7F72"/>
    <w:rsid w:val="73046070"/>
    <w:rsid w:val="754303C8"/>
    <w:rsid w:val="7EA901B4"/>
    <w:rsid w:val="7FBD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iPriority="9" w:semiHidden="0" w:name="heading 4"/>
    <w:lsdException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ind w:firstLine="200" w:firstLineChars="20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3"/>
    <w:qFormat/>
    <w:uiPriority w:val="99"/>
    <w:pPr>
      <w:spacing w:before="50" w:beforeLines="50" w:after="50" w:afterLines="50"/>
      <w:jc w:val="center"/>
      <w:outlineLvl w:val="0"/>
    </w:pPr>
    <w:rPr>
      <w:rFonts w:eastAsia="黑体"/>
      <w:b/>
      <w:iCs/>
      <w:sz w:val="28"/>
      <w:szCs w:val="21"/>
    </w:rPr>
  </w:style>
  <w:style w:type="paragraph" w:styleId="3">
    <w:name w:val="heading 2"/>
    <w:basedOn w:val="1"/>
    <w:next w:val="4"/>
    <w:link w:val="34"/>
    <w:qFormat/>
    <w:uiPriority w:val="99"/>
    <w:pPr>
      <w:spacing w:before="50" w:beforeLines="50" w:after="50" w:afterLines="50" w:line="360" w:lineRule="auto"/>
      <w:ind w:firstLine="0" w:firstLineChars="0"/>
      <w:jc w:val="left"/>
      <w:outlineLvl w:val="1"/>
    </w:pPr>
    <w:rPr>
      <w:rFonts w:eastAsia="黑体"/>
      <w:b/>
      <w:iCs/>
      <w:spacing w:val="-14"/>
      <w:sz w:val="24"/>
      <w:szCs w:val="18"/>
    </w:rPr>
  </w:style>
  <w:style w:type="paragraph" w:styleId="5">
    <w:name w:val="heading 3"/>
    <w:basedOn w:val="1"/>
    <w:next w:val="1"/>
    <w:link w:val="36"/>
    <w:unhideWhenUsed/>
    <w:qFormat/>
    <w:uiPriority w:val="9"/>
    <w:pPr>
      <w:spacing w:before="50" w:beforeLines="50" w:after="50" w:afterLines="50" w:line="360" w:lineRule="auto"/>
      <w:ind w:firstLine="0" w:firstLineChars="0"/>
      <w:jc w:val="left"/>
      <w:outlineLvl w:val="2"/>
    </w:pPr>
    <w:rPr>
      <w:rFonts w:eastAsia="黑体"/>
      <w:b/>
      <w:bCs/>
      <w:szCs w:val="32"/>
    </w:rPr>
  </w:style>
  <w:style w:type="paragraph" w:styleId="6">
    <w:name w:val="heading 4"/>
    <w:basedOn w:val="1"/>
    <w:next w:val="1"/>
    <w:link w:val="37"/>
    <w:unhideWhenUsed/>
    <w:qFormat/>
    <w:uiPriority w:val="9"/>
    <w:pPr>
      <w:outlineLvl w:val="3"/>
    </w:pPr>
    <w:rPr>
      <w:rFonts w:cstheme="majorBidi"/>
      <w:bCs/>
      <w:sz w:val="15"/>
      <w:szCs w:val="28"/>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4">
    <w:name w:val="Normal Indent"/>
    <w:basedOn w:val="1"/>
    <w:unhideWhenUsed/>
    <w:qFormat/>
    <w:uiPriority w:val="0"/>
    <w:pPr>
      <w:ind w:firstLine="420"/>
    </w:pPr>
  </w:style>
  <w:style w:type="paragraph" w:styleId="7">
    <w:name w:val="toc 7"/>
    <w:basedOn w:val="1"/>
    <w:next w:val="1"/>
    <w:unhideWhenUsed/>
    <w:qFormat/>
    <w:uiPriority w:val="39"/>
    <w:pPr>
      <w:ind w:left="1260"/>
      <w:jc w:val="left"/>
    </w:pPr>
    <w:rPr>
      <w:rFonts w:asciiTheme="minorHAnsi" w:hAnsiTheme="minorHAnsi" w:cstheme="minorHAnsi"/>
      <w:sz w:val="18"/>
      <w:szCs w:val="18"/>
    </w:rPr>
  </w:style>
  <w:style w:type="paragraph" w:styleId="8">
    <w:name w:val="caption"/>
    <w:basedOn w:val="1"/>
    <w:next w:val="1"/>
    <w:qFormat/>
    <w:uiPriority w:val="0"/>
    <w:pPr>
      <w:spacing w:line="240" w:lineRule="auto"/>
      <w:ind w:firstLine="0" w:firstLineChars="0"/>
    </w:pPr>
    <w:rPr>
      <w:rFonts w:ascii="Arial" w:hAnsi="Arial" w:eastAsia="黑体" w:cs="Arial"/>
      <w:sz w:val="20"/>
      <w:szCs w:val="20"/>
    </w:rPr>
  </w:style>
  <w:style w:type="paragraph" w:styleId="9">
    <w:name w:val="annotation text"/>
    <w:basedOn w:val="1"/>
    <w:link w:val="47"/>
    <w:semiHidden/>
    <w:unhideWhenUsed/>
    <w:qFormat/>
    <w:uiPriority w:val="99"/>
    <w:pPr>
      <w:jc w:val="left"/>
    </w:pPr>
  </w:style>
  <w:style w:type="paragraph" w:styleId="10">
    <w:name w:val="Body Text Indent"/>
    <w:basedOn w:val="1"/>
    <w:link w:val="43"/>
    <w:qFormat/>
    <w:uiPriority w:val="0"/>
    <w:pPr>
      <w:spacing w:line="240" w:lineRule="auto"/>
      <w:ind w:firstLine="420" w:firstLineChars="0"/>
    </w:pPr>
    <w:rPr>
      <w:rFonts w:ascii="宋体"/>
      <w:szCs w:val="20"/>
    </w:rPr>
  </w:style>
  <w:style w:type="paragraph" w:styleId="11">
    <w:name w:val="toc 5"/>
    <w:basedOn w:val="1"/>
    <w:next w:val="1"/>
    <w:unhideWhenUsed/>
    <w:qFormat/>
    <w:uiPriority w:val="39"/>
    <w:pPr>
      <w:ind w:left="840"/>
      <w:jc w:val="left"/>
    </w:pPr>
    <w:rPr>
      <w:rFonts w:asciiTheme="minorHAnsi" w:hAnsiTheme="minorHAnsi" w:cstheme="minorHAnsi"/>
      <w:sz w:val="18"/>
      <w:szCs w:val="18"/>
    </w:rPr>
  </w:style>
  <w:style w:type="paragraph" w:styleId="12">
    <w:name w:val="toc 3"/>
    <w:basedOn w:val="1"/>
    <w:next w:val="1"/>
    <w:unhideWhenUsed/>
    <w:qFormat/>
    <w:uiPriority w:val="39"/>
    <w:pPr>
      <w:ind w:left="420"/>
      <w:jc w:val="left"/>
    </w:pPr>
    <w:rPr>
      <w:rFonts w:asciiTheme="minorHAnsi" w:hAnsiTheme="minorHAnsi" w:cstheme="minorHAnsi"/>
      <w:i/>
      <w:iCs/>
      <w:sz w:val="20"/>
      <w:szCs w:val="20"/>
    </w:rPr>
  </w:style>
  <w:style w:type="paragraph" w:styleId="13">
    <w:name w:val="Plain Text"/>
    <w:basedOn w:val="1"/>
    <w:link w:val="45"/>
    <w:unhideWhenUsed/>
    <w:qFormat/>
    <w:uiPriority w:val="0"/>
    <w:rPr>
      <w:rFonts w:hAnsi="Courier New" w:cs="Courier New" w:asciiTheme="minorEastAsia" w:eastAsiaTheme="minorEastAsia"/>
    </w:rPr>
  </w:style>
  <w:style w:type="paragraph" w:styleId="14">
    <w:name w:val="toc 8"/>
    <w:basedOn w:val="1"/>
    <w:next w:val="1"/>
    <w:unhideWhenUsed/>
    <w:qFormat/>
    <w:uiPriority w:val="39"/>
    <w:pPr>
      <w:ind w:left="1470"/>
      <w:jc w:val="left"/>
    </w:pPr>
    <w:rPr>
      <w:rFonts w:asciiTheme="minorHAnsi" w:hAnsiTheme="minorHAnsi" w:cstheme="minorHAnsi"/>
      <w:sz w:val="18"/>
      <w:szCs w:val="18"/>
    </w:rPr>
  </w:style>
  <w:style w:type="paragraph" w:styleId="15">
    <w:name w:val="Date"/>
    <w:basedOn w:val="1"/>
    <w:next w:val="1"/>
    <w:link w:val="49"/>
    <w:semiHidden/>
    <w:unhideWhenUsed/>
    <w:qFormat/>
    <w:uiPriority w:val="99"/>
    <w:pPr>
      <w:ind w:left="100" w:leftChars="2500"/>
    </w:pPr>
  </w:style>
  <w:style w:type="paragraph" w:styleId="16">
    <w:name w:val="Balloon Text"/>
    <w:basedOn w:val="1"/>
    <w:link w:val="35"/>
    <w:semiHidden/>
    <w:unhideWhenUsed/>
    <w:qFormat/>
    <w:uiPriority w:val="99"/>
    <w:rPr>
      <w:sz w:val="18"/>
      <w:szCs w:val="18"/>
    </w:rPr>
  </w:style>
  <w:style w:type="paragraph" w:styleId="17">
    <w:name w:val="footer"/>
    <w:basedOn w:val="1"/>
    <w:link w:val="40"/>
    <w:unhideWhenUsed/>
    <w:qFormat/>
    <w:uiPriority w:val="99"/>
    <w:pPr>
      <w:tabs>
        <w:tab w:val="center" w:pos="4153"/>
        <w:tab w:val="right" w:pos="8306"/>
      </w:tabs>
      <w:snapToGrid w:val="0"/>
      <w:spacing w:line="240" w:lineRule="auto"/>
      <w:jc w:val="left"/>
    </w:pPr>
    <w:rPr>
      <w:sz w:val="18"/>
      <w:szCs w:val="18"/>
    </w:rPr>
  </w:style>
  <w:style w:type="paragraph" w:styleId="18">
    <w:name w:val="header"/>
    <w:basedOn w:val="1"/>
    <w:link w:val="39"/>
    <w:unhideWhenUsed/>
    <w:qFormat/>
    <w:uiPriority w:val="99"/>
    <w:pPr>
      <w:tabs>
        <w:tab w:val="center" w:pos="4153"/>
        <w:tab w:val="right" w:pos="8306"/>
      </w:tabs>
      <w:snapToGrid w:val="0"/>
      <w:spacing w:line="240" w:lineRule="auto"/>
      <w:jc w:val="center"/>
    </w:pPr>
    <w:rPr>
      <w:sz w:val="18"/>
      <w:szCs w:val="18"/>
    </w:rPr>
  </w:style>
  <w:style w:type="paragraph" w:styleId="19">
    <w:name w:val="toc 1"/>
    <w:basedOn w:val="1"/>
    <w:next w:val="1"/>
    <w:unhideWhenUsed/>
    <w:qFormat/>
    <w:uiPriority w:val="39"/>
    <w:pPr>
      <w:spacing w:before="120" w:after="120"/>
      <w:jc w:val="left"/>
    </w:pPr>
    <w:rPr>
      <w:rFonts w:asciiTheme="minorHAnsi" w:hAnsiTheme="minorHAnsi" w:cstheme="minorHAnsi"/>
      <w:b/>
      <w:bCs/>
      <w:caps/>
      <w:sz w:val="20"/>
      <w:szCs w:val="20"/>
    </w:rPr>
  </w:style>
  <w:style w:type="paragraph" w:styleId="20">
    <w:name w:val="toc 4"/>
    <w:basedOn w:val="1"/>
    <w:next w:val="1"/>
    <w:unhideWhenUsed/>
    <w:qFormat/>
    <w:uiPriority w:val="39"/>
    <w:pPr>
      <w:ind w:left="630"/>
      <w:jc w:val="left"/>
    </w:pPr>
    <w:rPr>
      <w:rFonts w:asciiTheme="minorHAnsi" w:hAnsiTheme="minorHAnsi" w:cstheme="minorHAnsi"/>
      <w:sz w:val="18"/>
      <w:szCs w:val="18"/>
    </w:rPr>
  </w:style>
  <w:style w:type="paragraph" w:styleId="21">
    <w:name w:val="toc 6"/>
    <w:basedOn w:val="1"/>
    <w:next w:val="1"/>
    <w:unhideWhenUsed/>
    <w:qFormat/>
    <w:uiPriority w:val="39"/>
    <w:pPr>
      <w:ind w:left="1050"/>
      <w:jc w:val="left"/>
    </w:pPr>
    <w:rPr>
      <w:rFonts w:asciiTheme="minorHAnsi" w:hAnsiTheme="minorHAnsi" w:cstheme="minorHAnsi"/>
      <w:sz w:val="18"/>
      <w:szCs w:val="18"/>
    </w:rPr>
  </w:style>
  <w:style w:type="paragraph" w:styleId="22">
    <w:name w:val="toc 2"/>
    <w:basedOn w:val="1"/>
    <w:next w:val="1"/>
    <w:unhideWhenUsed/>
    <w:qFormat/>
    <w:uiPriority w:val="39"/>
    <w:pPr>
      <w:ind w:left="210"/>
      <w:jc w:val="left"/>
    </w:pPr>
    <w:rPr>
      <w:rFonts w:asciiTheme="minorHAnsi" w:hAnsiTheme="minorHAnsi" w:cstheme="minorHAnsi"/>
      <w:smallCaps/>
      <w:sz w:val="20"/>
      <w:szCs w:val="20"/>
    </w:rPr>
  </w:style>
  <w:style w:type="paragraph" w:styleId="23">
    <w:name w:val="toc 9"/>
    <w:basedOn w:val="1"/>
    <w:next w:val="1"/>
    <w:unhideWhenUsed/>
    <w:qFormat/>
    <w:uiPriority w:val="39"/>
    <w:pPr>
      <w:ind w:left="1680"/>
      <w:jc w:val="left"/>
    </w:pPr>
    <w:rPr>
      <w:rFonts w:asciiTheme="minorHAnsi" w:hAnsiTheme="minorHAnsi" w:cstheme="minorHAnsi"/>
      <w:sz w:val="18"/>
      <w:szCs w:val="18"/>
    </w:rPr>
  </w:style>
  <w:style w:type="paragraph" w:styleId="24">
    <w:name w:val="annotation subject"/>
    <w:basedOn w:val="9"/>
    <w:next w:val="9"/>
    <w:link w:val="48"/>
    <w:semiHidden/>
    <w:unhideWhenUsed/>
    <w:qFormat/>
    <w:uiPriority w:val="99"/>
    <w:rPr>
      <w:b/>
      <w:bCs/>
    </w:rPr>
  </w:style>
  <w:style w:type="table" w:styleId="26">
    <w:name w:val="Table Grid"/>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unhideWhenUsed/>
    <w:qFormat/>
    <w:uiPriority w:val="99"/>
    <w:rPr>
      <w:color w:val="0000FF"/>
      <w:u w:val="single"/>
    </w:rPr>
  </w:style>
  <w:style w:type="character" w:styleId="29">
    <w:name w:val="annotation reference"/>
    <w:basedOn w:val="27"/>
    <w:semiHidden/>
    <w:unhideWhenUsed/>
    <w:qFormat/>
    <w:uiPriority w:val="99"/>
    <w:rPr>
      <w:sz w:val="21"/>
      <w:szCs w:val="21"/>
    </w:rPr>
  </w:style>
  <w:style w:type="paragraph" w:customStyle="1" w:styleId="30">
    <w:name w:val="目录 21"/>
    <w:basedOn w:val="1"/>
    <w:next w:val="1"/>
    <w:qFormat/>
    <w:uiPriority w:val="0"/>
    <w:pPr>
      <w:spacing w:before="100" w:beforeAutospacing="1" w:after="100" w:afterAutospacing="1" w:line="400" w:lineRule="exact"/>
      <w:ind w:left="425" w:leftChars="200"/>
    </w:pPr>
    <w:rPr>
      <w:kern w:val="0"/>
      <w:szCs w:val="21"/>
    </w:rPr>
  </w:style>
  <w:style w:type="paragraph" w:customStyle="1" w:styleId="31">
    <w:name w:val="目录 11"/>
    <w:basedOn w:val="1"/>
    <w:next w:val="1"/>
    <w:qFormat/>
    <w:uiPriority w:val="0"/>
    <w:rPr>
      <w:rFonts w:ascii="方正小标宋简体" w:hAnsi="宋体"/>
      <w:kern w:val="0"/>
      <w:szCs w:val="21"/>
    </w:rPr>
  </w:style>
  <w:style w:type="character" w:customStyle="1" w:styleId="32">
    <w:name w:val="15"/>
    <w:basedOn w:val="27"/>
    <w:qFormat/>
    <w:uiPriority w:val="0"/>
    <w:rPr>
      <w:rFonts w:hint="default" w:ascii="Times New Roman" w:hAnsi="Times New Roman" w:cs="Times New Roman"/>
      <w:color w:val="0000FF"/>
      <w:u w:val="single"/>
    </w:rPr>
  </w:style>
  <w:style w:type="character" w:customStyle="1" w:styleId="33">
    <w:name w:val="标题 1 字符"/>
    <w:basedOn w:val="27"/>
    <w:link w:val="2"/>
    <w:qFormat/>
    <w:uiPriority w:val="99"/>
    <w:rPr>
      <w:rFonts w:ascii="Times New Roman" w:hAnsi="Times New Roman" w:eastAsia="黑体" w:cs="Times New Roman"/>
      <w:b/>
      <w:iCs/>
      <w:sz w:val="28"/>
      <w:szCs w:val="21"/>
    </w:rPr>
  </w:style>
  <w:style w:type="character" w:customStyle="1" w:styleId="34">
    <w:name w:val="标题 2 字符"/>
    <w:basedOn w:val="27"/>
    <w:link w:val="3"/>
    <w:qFormat/>
    <w:uiPriority w:val="99"/>
    <w:rPr>
      <w:rFonts w:ascii="Times New Roman" w:hAnsi="Times New Roman" w:eastAsia="黑体" w:cs="Times New Roman"/>
      <w:b/>
      <w:iCs/>
      <w:spacing w:val="-14"/>
      <w:sz w:val="24"/>
      <w:szCs w:val="18"/>
    </w:rPr>
  </w:style>
  <w:style w:type="character" w:customStyle="1" w:styleId="35">
    <w:name w:val="批注框文本 字符"/>
    <w:basedOn w:val="27"/>
    <w:link w:val="16"/>
    <w:semiHidden/>
    <w:qFormat/>
    <w:uiPriority w:val="99"/>
    <w:rPr>
      <w:rFonts w:ascii="Times New Roman" w:hAnsi="Times New Roman" w:eastAsia="宋体" w:cs="Times New Roman"/>
      <w:sz w:val="18"/>
      <w:szCs w:val="18"/>
    </w:rPr>
  </w:style>
  <w:style w:type="character" w:customStyle="1" w:styleId="36">
    <w:name w:val="标题 3 字符"/>
    <w:basedOn w:val="27"/>
    <w:link w:val="5"/>
    <w:qFormat/>
    <w:uiPriority w:val="9"/>
    <w:rPr>
      <w:rFonts w:ascii="Times New Roman" w:hAnsi="Times New Roman" w:eastAsia="黑体" w:cs="Times New Roman"/>
      <w:b/>
      <w:bCs/>
      <w:szCs w:val="32"/>
    </w:rPr>
  </w:style>
  <w:style w:type="character" w:customStyle="1" w:styleId="37">
    <w:name w:val="标题 4 字符"/>
    <w:basedOn w:val="27"/>
    <w:link w:val="6"/>
    <w:qFormat/>
    <w:uiPriority w:val="9"/>
    <w:rPr>
      <w:rFonts w:ascii="Times New Roman" w:hAnsi="Times New Roman" w:eastAsia="宋体" w:cstheme="majorBidi"/>
      <w:bCs/>
      <w:sz w:val="15"/>
      <w:szCs w:val="28"/>
    </w:rPr>
  </w:style>
  <w:style w:type="character" w:styleId="38">
    <w:name w:val="Placeholder Text"/>
    <w:basedOn w:val="27"/>
    <w:semiHidden/>
    <w:qFormat/>
    <w:uiPriority w:val="99"/>
    <w:rPr>
      <w:color w:val="808080"/>
    </w:rPr>
  </w:style>
  <w:style w:type="character" w:customStyle="1" w:styleId="39">
    <w:name w:val="页眉 字符"/>
    <w:basedOn w:val="27"/>
    <w:link w:val="18"/>
    <w:qFormat/>
    <w:uiPriority w:val="99"/>
    <w:rPr>
      <w:rFonts w:ascii="Times New Roman" w:hAnsi="Times New Roman" w:eastAsia="宋体" w:cs="Times New Roman"/>
      <w:sz w:val="18"/>
      <w:szCs w:val="18"/>
    </w:rPr>
  </w:style>
  <w:style w:type="character" w:customStyle="1" w:styleId="40">
    <w:name w:val="页脚 字符"/>
    <w:basedOn w:val="27"/>
    <w:link w:val="17"/>
    <w:qFormat/>
    <w:uiPriority w:val="99"/>
    <w:rPr>
      <w:rFonts w:ascii="Times New Roman" w:hAnsi="Times New Roman" w:eastAsia="宋体" w:cs="Times New Roman"/>
      <w:sz w:val="18"/>
      <w:szCs w:val="18"/>
    </w:rPr>
  </w:style>
  <w:style w:type="paragraph" w:customStyle="1" w:styleId="41">
    <w:name w:val="TOC 标题1"/>
    <w:basedOn w:val="2"/>
    <w:next w:val="1"/>
    <w:semiHidden/>
    <w:unhideWhenUsed/>
    <w:qFormat/>
    <w:uiPriority w:val="39"/>
    <w:pPr>
      <w:keepNext/>
      <w:keepLines/>
      <w:widowControl/>
      <w:spacing w:before="480" w:beforeLines="0" w:after="0" w:afterLines="0" w:line="276" w:lineRule="auto"/>
      <w:ind w:firstLine="0" w:firstLineChars="0"/>
      <w:jc w:val="left"/>
      <w:outlineLvl w:val="9"/>
    </w:pPr>
    <w:rPr>
      <w:rFonts w:asciiTheme="majorHAnsi" w:hAnsiTheme="majorHAnsi" w:eastAsiaTheme="majorEastAsia" w:cstheme="majorBidi"/>
      <w:bCs/>
      <w:iCs w:val="0"/>
      <w:color w:val="376092" w:themeColor="accent1" w:themeShade="BF"/>
      <w:kern w:val="0"/>
      <w:szCs w:val="28"/>
    </w:rPr>
  </w:style>
  <w:style w:type="paragraph" w:styleId="42">
    <w:name w:val="List Paragraph"/>
    <w:basedOn w:val="1"/>
    <w:qFormat/>
    <w:uiPriority w:val="34"/>
    <w:pPr>
      <w:ind w:firstLine="420"/>
    </w:pPr>
  </w:style>
  <w:style w:type="character" w:customStyle="1" w:styleId="43">
    <w:name w:val="正文文本缩进 字符"/>
    <w:basedOn w:val="27"/>
    <w:link w:val="10"/>
    <w:qFormat/>
    <w:uiPriority w:val="0"/>
    <w:rPr>
      <w:rFonts w:ascii="宋体" w:hAnsi="Times New Roman" w:eastAsia="宋体" w:cs="Times New Roman"/>
      <w:szCs w:val="20"/>
    </w:rPr>
  </w:style>
  <w:style w:type="paragraph" w:customStyle="1" w:styleId="44">
    <w:name w:val="段"/>
    <w:basedOn w:val="1"/>
    <w:qFormat/>
    <w:uiPriority w:val="0"/>
    <w:pPr>
      <w:adjustRightInd w:val="0"/>
      <w:spacing w:line="240" w:lineRule="auto"/>
      <w:ind w:firstLine="420"/>
    </w:pPr>
    <w:rPr>
      <w:rFonts w:cs="Calibri"/>
      <w:szCs w:val="21"/>
    </w:rPr>
  </w:style>
  <w:style w:type="character" w:customStyle="1" w:styleId="45">
    <w:name w:val="纯文本 字符"/>
    <w:basedOn w:val="27"/>
    <w:link w:val="13"/>
    <w:qFormat/>
    <w:uiPriority w:val="0"/>
    <w:rPr>
      <w:rFonts w:hAnsi="Courier New" w:cs="Courier New" w:asciiTheme="minorEastAsia"/>
      <w:kern w:val="2"/>
      <w:sz w:val="21"/>
      <w:szCs w:val="22"/>
    </w:rPr>
  </w:style>
  <w:style w:type="table" w:customStyle="1" w:styleId="46">
    <w:name w:val="网格型1"/>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批注文字 字符"/>
    <w:basedOn w:val="27"/>
    <w:link w:val="9"/>
    <w:semiHidden/>
    <w:qFormat/>
    <w:uiPriority w:val="99"/>
    <w:rPr>
      <w:rFonts w:ascii="Times New Roman" w:hAnsi="Times New Roman" w:eastAsia="宋体" w:cs="Times New Roman"/>
      <w:kern w:val="2"/>
      <w:sz w:val="21"/>
      <w:szCs w:val="22"/>
    </w:rPr>
  </w:style>
  <w:style w:type="character" w:customStyle="1" w:styleId="48">
    <w:name w:val="批注主题 字符"/>
    <w:basedOn w:val="47"/>
    <w:link w:val="24"/>
    <w:semiHidden/>
    <w:qFormat/>
    <w:uiPriority w:val="99"/>
    <w:rPr>
      <w:rFonts w:ascii="Times New Roman" w:hAnsi="Times New Roman" w:eastAsia="宋体" w:cs="Times New Roman"/>
      <w:b/>
      <w:bCs/>
      <w:kern w:val="2"/>
      <w:sz w:val="21"/>
      <w:szCs w:val="22"/>
    </w:rPr>
  </w:style>
  <w:style w:type="character" w:customStyle="1" w:styleId="49">
    <w:name w:val="日期 字符"/>
    <w:basedOn w:val="27"/>
    <w:link w:val="15"/>
    <w:semiHidden/>
    <w:qFormat/>
    <w:uiPriority w:val="99"/>
    <w:rPr>
      <w:rFonts w:ascii="Times New Roman" w:hAnsi="Times New Roman" w:eastAsia="宋体" w:cs="Times New Roman"/>
      <w:kern w:val="2"/>
      <w:sz w:val="21"/>
      <w:szCs w:val="22"/>
    </w:rPr>
  </w:style>
  <w:style w:type="paragraph" w:customStyle="1" w:styleId="50">
    <w:name w:val="样式5"/>
    <w:basedOn w:val="1"/>
    <w:qFormat/>
    <w:uiPriority w:val="0"/>
    <w:pPr>
      <w:tabs>
        <w:tab w:val="left" w:pos="547"/>
        <w:tab w:val="left" w:pos="1080"/>
      </w:tabs>
      <w:spacing w:line="480" w:lineRule="atLeast"/>
      <w:ind w:firstLine="0" w:firstLineChars="0"/>
      <w:jc w:val="center"/>
    </w:pPr>
    <w:rPr>
      <w:b/>
      <w:szCs w:val="24"/>
    </w:rPr>
  </w:style>
  <w:style w:type="paragraph" w:customStyle="1" w:styleId="51">
    <w:name w:val="Revision"/>
    <w:hidden/>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image" Target="media/image4.emf"/><Relationship Id="rId17" Type="http://schemas.openxmlformats.org/officeDocument/2006/relationships/oleObject" Target="embeddings/oleObject1.bin"/><Relationship Id="rId16" Type="http://schemas.openxmlformats.org/officeDocument/2006/relationships/image" Target="media/image3.wmf"/><Relationship Id="rId15" Type="http://schemas.openxmlformats.org/officeDocument/2006/relationships/image" Target="media/image2.wmf"/><Relationship Id="rId14" Type="http://schemas.openxmlformats.org/officeDocument/2006/relationships/image" Target="media/image1.wmf"/><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F06AF7-83B0-4DBF-BA84-7B66377E4D6E}">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2822</Words>
  <Characters>3413</Characters>
  <Lines>89</Lines>
  <Paragraphs>25</Paragraphs>
  <TotalTime>365</TotalTime>
  <ScaleCrop>false</ScaleCrop>
  <LinksUpToDate>false</LinksUpToDate>
  <CharactersWithSpaces>3765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2024-06-18T06:39:00Z</dcterms:created>
  <dc:creator>Katherine</dc:creator>
  <cp:lastModifiedBy>杨会臣</cp:lastModifiedBy>
  <dcterms:modified xsi:type="dcterms:W3CDTF">2025-09-08T07:36:51Z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eyJoZGlkIjoiMzM4MzlhNzNkMjQ3NjdiNjYwY2MxMGUxNTlmODAwZjYifQ==</vt:lpwstr>
  </property>
  <property fmtid="{D5CDD505-2E9C-101B-9397-08002B2CF9AE}" pid="4" name="ICV">
    <vt:lpwstr>4FEE17EC199C47F5A98DB1EA08887618_12</vt:lpwstr>
  </property>
</Properties>
</file>