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distribute"/>
        <w:rPr>
          <w:rFonts w:ascii="宋体" w:hAnsi="宋体"/>
          <w:b/>
          <w:color w:val="FF0000"/>
          <w:sz w:val="80"/>
          <w:szCs w:val="72"/>
        </w:rPr>
      </w:pPr>
      <w:r>
        <w:rPr>
          <w:rFonts w:hint="eastAsia" w:ascii="宋体" w:hAnsi="宋体"/>
          <w:b/>
          <w:color w:val="FF0000"/>
          <w:sz w:val="80"/>
          <w:szCs w:val="72"/>
        </w:rPr>
        <w:t>中国大坝工程学会文件</w:t>
      </w:r>
    </w:p>
    <w:p>
      <w:pPr>
        <w:jc w:val="both"/>
        <w:rPr>
          <w:rFonts w:ascii="Times New Roman" w:hAnsi="Times New Roman"/>
          <w:sz w:val="32"/>
          <w:szCs w:val="32"/>
        </w:rPr>
      </w:pPr>
    </w:p>
    <w:p>
      <w:pPr>
        <w:jc w:val="center"/>
        <w:rPr>
          <w:rFonts w:ascii="Times New Roman" w:hAnsi="Times New Roman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370840</wp:posOffset>
                </wp:positionV>
                <wp:extent cx="5567045" cy="0"/>
                <wp:effectExtent l="0" t="0" r="0" b="0"/>
                <wp:wrapNone/>
                <wp:docPr id="5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67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5.25pt;margin-top:29.2pt;height:0pt;width:438.35pt;z-index:251660288;mso-width-relative:page;mso-height-relative:page;" filled="f" stroked="t" coordsize="21600,21600" o:gfxdata="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4kQ03dYAAAAIAQAADwAAAAAAAAABACAAAAAiAAAA&#10;ZHJzL2Rvd25yZXYueG1sUEsBAhQAFAAAAAgAh07iQHYJNUnQAQAArQMAAA4AAAAAAAAAAQAgAAAA&#10;JQEAAGRycy9lMm9Eb2MueG1sUEsFBgAAAAAGAAYAWQEAAGcFAAAAAA==&#10;">
                <v:fill on="f" focussize="0,0"/>
                <v:stroke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/>
          <w:sz w:val="32"/>
          <w:szCs w:val="32"/>
        </w:rPr>
        <w:t>大坝学〔202</w:t>
      </w:r>
      <w:r>
        <w:rPr>
          <w:rFonts w:hint="eastAsia" w:ascii="Times New Roman" w:hAnsi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/>
          <w:sz w:val="32"/>
          <w:szCs w:val="32"/>
        </w:rPr>
        <w:t>〕</w:t>
      </w:r>
      <w:r>
        <w:rPr>
          <w:rFonts w:hint="eastAsia" w:ascii="Times New Roman" w:hAnsi="Times New Roman"/>
          <w:color w:val="0000FF"/>
          <w:sz w:val="32"/>
          <w:szCs w:val="32"/>
          <w:highlight w:val="none"/>
          <w:lang w:eastAsia="zh-CN"/>
        </w:rPr>
        <w:t>？</w:t>
      </w:r>
      <w:r>
        <w:rPr>
          <w:rFonts w:hint="eastAsia" w:ascii="Times New Roman" w:hAnsi="Times New Roman"/>
          <w:sz w:val="32"/>
          <w:szCs w:val="32"/>
        </w:rPr>
        <w:t xml:space="preserve">号 </w:t>
      </w:r>
      <w:r>
        <w:rPr>
          <w:rFonts w:ascii="Times New Roman" w:hAnsi="Times New Roman"/>
          <w:sz w:val="32"/>
          <w:szCs w:val="32"/>
        </w:rPr>
        <w:t xml:space="preserve">   </w:t>
      </w:r>
    </w:p>
    <w:p>
      <w:pPr>
        <w:jc w:val="center"/>
        <w:rPr>
          <w:rFonts w:ascii="黑体" w:eastAsia="黑体"/>
          <w:b/>
          <w:sz w:val="36"/>
          <w:szCs w:val="36"/>
        </w:rPr>
      </w:pPr>
    </w:p>
    <w:p>
      <w:pPr>
        <w:jc w:val="center"/>
        <w:rPr>
          <w:rFonts w:hint="eastAsia" w:ascii="黑体" w:hAnsi="黑体" w:eastAsia="黑体"/>
          <w:b/>
          <w:sz w:val="44"/>
          <w:szCs w:val="44"/>
          <w:lang w:eastAsia="zh-CN"/>
        </w:rPr>
      </w:pPr>
      <w:r>
        <w:rPr>
          <w:rFonts w:hint="eastAsia" w:ascii="黑体" w:hAnsi="黑体" w:eastAsia="黑体"/>
          <w:b/>
          <w:sz w:val="44"/>
          <w:szCs w:val="44"/>
        </w:rPr>
        <w:t>关于邀请参加</w:t>
      </w:r>
      <w:r>
        <w:rPr>
          <w:rFonts w:hint="eastAsia" w:ascii="黑体" w:hAnsi="黑体" w:eastAsia="黑体"/>
          <w:b/>
          <w:sz w:val="44"/>
          <w:szCs w:val="44"/>
          <w:lang w:eastAsia="zh-CN"/>
        </w:rPr>
        <w:t>中国大坝工程学会</w:t>
      </w:r>
    </w:p>
    <w:p>
      <w:pPr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color w:val="auto"/>
          <w:sz w:val="44"/>
          <w:szCs w:val="44"/>
          <w:lang w:val="en-US" w:eastAsia="zh-CN"/>
        </w:rPr>
        <w:t>2022学术年</w:t>
      </w:r>
      <w:r>
        <w:rPr>
          <w:rFonts w:hint="eastAsia" w:ascii="黑体" w:hAnsi="黑体" w:eastAsia="黑体"/>
          <w:b/>
          <w:sz w:val="44"/>
          <w:szCs w:val="44"/>
          <w:lang w:val="en-US" w:eastAsia="zh-CN"/>
        </w:rPr>
        <w:t>会</w:t>
      </w:r>
      <w:r>
        <w:rPr>
          <w:rFonts w:hint="eastAsia" w:ascii="黑体" w:hAnsi="黑体" w:eastAsia="黑体"/>
          <w:b/>
          <w:sz w:val="44"/>
          <w:szCs w:val="44"/>
        </w:rPr>
        <w:t>技术展览的函</w:t>
      </w:r>
    </w:p>
    <w:p>
      <w:pPr>
        <w:rPr>
          <w:rFonts w:ascii="黑体" w:hAnsi="黑体" w:eastAsia="黑体"/>
          <w:sz w:val="44"/>
          <w:szCs w:val="44"/>
        </w:rPr>
      </w:pPr>
    </w:p>
    <w:p>
      <w:pPr>
        <w:widowControl w:val="0"/>
        <w:jc w:val="both"/>
        <w:rPr>
          <w:rFonts w:ascii="仿宋" w:hAnsi="仿宋" w:eastAsia="仿宋_GB2312"/>
          <w:spacing w:val="0"/>
          <w:kern w:val="2"/>
          <w:sz w:val="32"/>
          <w:szCs w:val="32"/>
        </w:rPr>
      </w:pPr>
      <w:r>
        <w:rPr>
          <w:rFonts w:ascii="仿宋" w:hAnsi="仿宋" w:eastAsia="仿宋_GB2312"/>
          <w:spacing w:val="0"/>
          <w:kern w:val="2"/>
          <w:sz w:val="32"/>
          <w:szCs w:val="32"/>
        </w:rPr>
        <w:t>各有关单位：</w:t>
      </w:r>
    </w:p>
    <w:p>
      <w:pPr>
        <w:widowControl w:val="0"/>
        <w:ind w:firstLine="620" w:firstLineChars="200"/>
        <w:jc w:val="both"/>
        <w:rPr>
          <w:rFonts w:hint="eastAsia" w:ascii="仿宋" w:hAnsi="仿宋" w:eastAsia="仿宋_GB2312"/>
          <w:color w:val="auto"/>
          <w:sz w:val="32"/>
          <w:szCs w:val="32"/>
        </w:rPr>
      </w:pPr>
      <w:r>
        <w:rPr>
          <w:rFonts w:hint="eastAsia" w:ascii="仿宋" w:hAnsi="仿宋" w:eastAsia="仿宋_GB2312"/>
          <w:color w:val="auto"/>
          <w:sz w:val="32"/>
          <w:szCs w:val="32"/>
        </w:rPr>
        <w:t>为</w:t>
      </w:r>
      <w:r>
        <w:rPr>
          <w:rFonts w:hint="eastAsia" w:ascii="仿宋" w:hAnsi="仿宋" w:eastAsia="仿宋_GB2312"/>
          <w:color w:val="auto"/>
          <w:sz w:val="32"/>
          <w:szCs w:val="32"/>
          <w:lang w:eastAsia="zh-CN"/>
        </w:rPr>
        <w:t>落实</w:t>
      </w:r>
      <w:r>
        <w:rPr>
          <w:rFonts w:hint="eastAsia" w:ascii="Times New Roman" w:hAnsi="Times New Roman" w:eastAsia="仿宋_GB2312"/>
          <w:bCs/>
          <w:sz w:val="32"/>
          <w:szCs w:val="32"/>
        </w:rPr>
        <w:t>习近平总书记“节水优先、空间均衡、系统治理、两手发力”</w:t>
      </w:r>
      <w:r>
        <w:rPr>
          <w:rFonts w:hint="eastAsia" w:ascii="Times New Roman" w:hAnsi="Times New Roman" w:eastAsia="仿宋_GB2312"/>
          <w:bCs/>
          <w:sz w:val="32"/>
          <w:szCs w:val="32"/>
          <w:lang w:eastAsia="zh-CN"/>
        </w:rPr>
        <w:t>新时期</w:t>
      </w:r>
      <w:r>
        <w:rPr>
          <w:rFonts w:hint="eastAsia" w:ascii="Times New Roman" w:hAnsi="Times New Roman" w:eastAsia="仿宋_GB2312"/>
          <w:bCs/>
          <w:sz w:val="32"/>
          <w:szCs w:val="32"/>
        </w:rPr>
        <w:t>治水思路和“双碳”目标</w:t>
      </w:r>
      <w:r>
        <w:rPr>
          <w:rFonts w:hint="eastAsia" w:ascii="Times New Roman" w:hAnsi="Times New Roman" w:eastAsia="仿宋_GB2312"/>
          <w:bCs/>
          <w:sz w:val="32"/>
          <w:szCs w:val="32"/>
          <w:lang w:eastAsia="zh-CN"/>
        </w:rPr>
        <w:t>有关要求，</w:t>
      </w:r>
      <w:r>
        <w:rPr>
          <w:rFonts w:hint="eastAsia" w:ascii="仿宋" w:hAnsi="仿宋" w:eastAsia="仿宋_GB2312"/>
          <w:color w:val="auto"/>
          <w:sz w:val="32"/>
          <w:szCs w:val="32"/>
        </w:rPr>
        <w:t>充分发挥学术社团服务政府、服务社会、服务行业和服务会员的作用，中国大坝工程学会积极</w:t>
      </w:r>
      <w:r>
        <w:rPr>
          <w:rFonts w:hint="eastAsia" w:ascii="仿宋" w:hAnsi="仿宋" w:eastAsia="仿宋_GB2312"/>
          <w:color w:val="auto"/>
          <w:sz w:val="32"/>
          <w:szCs w:val="32"/>
          <w:lang w:eastAsia="zh-CN"/>
        </w:rPr>
        <w:t>搭建学术年会平台</w:t>
      </w:r>
      <w:r>
        <w:rPr>
          <w:rFonts w:hint="eastAsia" w:ascii="仿宋" w:hAnsi="仿宋" w:eastAsia="仿宋_GB2312"/>
          <w:color w:val="auto"/>
          <w:sz w:val="32"/>
          <w:szCs w:val="32"/>
          <w:lang w:val="en-US" w:eastAsia="zh-CN"/>
        </w:rPr>
        <w:t>,</w:t>
      </w:r>
      <w:bookmarkStart w:id="0" w:name="_GoBack"/>
      <w:bookmarkEnd w:id="0"/>
      <w:r>
        <w:rPr>
          <w:rFonts w:hint="eastAsia" w:ascii="仿宋" w:hAnsi="仿宋" w:eastAsia="仿宋_GB2312"/>
          <w:color w:val="auto"/>
          <w:sz w:val="32"/>
          <w:szCs w:val="32"/>
        </w:rPr>
        <w:t>推动技术交流和学科发展，得到了政府部门、各级领导的大力支持和专家学者</w:t>
      </w:r>
      <w:r>
        <w:rPr>
          <w:rFonts w:hint="eastAsia" w:ascii="仿宋" w:hAnsi="仿宋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" w:hAnsi="仿宋" w:eastAsia="仿宋_GB2312"/>
          <w:color w:val="auto"/>
          <w:sz w:val="32"/>
          <w:szCs w:val="32"/>
        </w:rPr>
        <w:t>广大会员的积极响应。学会学术年会已成为广大坝工科技工作者交流成果、切磋观点、增进合作的重要平台和反映中国大坝最新技术进展的重要窗口。经研究，中国大坝工程学会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</w:rPr>
        <w:t>2022学术年会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lang w:val="en-US" w:eastAsia="zh-CN"/>
        </w:rPr>
        <w:t>将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</w:rPr>
        <w:t>于1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</w:rPr>
        <w:t>月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</w:rPr>
        <w:t>-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</w:rPr>
        <w:t>日在贵州省贵阳市举行</w:t>
      </w:r>
      <w:r>
        <w:rPr>
          <w:rFonts w:hint="eastAsia" w:ascii="仿宋" w:hAnsi="仿宋" w:eastAsia="仿宋_GB2312"/>
          <w:color w:val="auto"/>
          <w:sz w:val="32"/>
          <w:szCs w:val="32"/>
        </w:rPr>
        <w:t>。</w:t>
      </w:r>
    </w:p>
    <w:p>
      <w:pPr>
        <w:ind w:firstLine="620" w:firstLineChars="200"/>
        <w:jc w:val="both"/>
        <w:rPr>
          <w:rFonts w:hint="eastAsia" w:ascii="Times New Roman" w:hAnsi="Times New Roman" w:eastAsia="仿宋_GB2312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本</w:t>
      </w:r>
      <w:r>
        <w:rPr>
          <w:rFonts w:hint="eastAsia" w:ascii="Times New Roman" w:hAnsi="Times New Roman" w:eastAsia="仿宋_GB2312"/>
          <w:bCs/>
          <w:sz w:val="32"/>
          <w:szCs w:val="32"/>
        </w:rPr>
        <w:t>次会议将聚焦全面提升国家水安全保障能力和构建清洁低碳、安全高效的能源体系总体目标，围绕行业普遍关注的热点问题，邀请业界专家学者做主题报告和</w:t>
      </w:r>
      <w:r>
        <w:rPr>
          <w:rFonts w:hint="eastAsia" w:ascii="Times New Roman" w:hAnsi="Times New Roman" w:eastAsia="仿宋_GB2312"/>
          <w:bCs/>
          <w:sz w:val="32"/>
          <w:szCs w:val="32"/>
          <w:lang w:eastAsia="zh-CN"/>
        </w:rPr>
        <w:t>安排</w:t>
      </w:r>
      <w:r>
        <w:rPr>
          <w:rFonts w:hint="eastAsia" w:ascii="Times New Roman" w:hAnsi="Times New Roman" w:eastAsia="仿宋_GB2312"/>
          <w:bCs/>
          <w:sz w:val="32"/>
          <w:szCs w:val="32"/>
        </w:rPr>
        <w:t>专题分会研讨。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lang w:val="en-US" w:eastAsia="zh-CN"/>
        </w:rPr>
        <w:t>届时，第十三届全国人大常委会委员、中国大坝工程学会理事长矫勇、水利部、中国科协、能源局相关领导，以及两院院士、水利水电企业嘉宾将应邀出席会议。</w:t>
      </w:r>
      <w:r>
        <w:rPr>
          <w:rFonts w:hint="eastAsia" w:ascii="Times New Roman" w:hAnsi="Times New Roman" w:eastAsia="仿宋_GB2312"/>
          <w:sz w:val="32"/>
          <w:szCs w:val="32"/>
        </w:rPr>
        <w:t>会议期间，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还</w:t>
      </w:r>
      <w:r>
        <w:rPr>
          <w:rFonts w:hint="eastAsia" w:ascii="Times New Roman" w:hAnsi="Times New Roman" w:eastAsia="仿宋_GB2312"/>
          <w:sz w:val="32"/>
          <w:szCs w:val="32"/>
        </w:rPr>
        <w:t>将颁发</w:t>
      </w:r>
      <w:r>
        <w:rPr>
          <w:rFonts w:hint="eastAsia" w:ascii="Times New Roman" w:hAnsi="Times New Roman" w:eastAsia="仿宋_GB2312"/>
          <w:bCs/>
          <w:sz w:val="32"/>
          <w:szCs w:val="32"/>
        </w:rPr>
        <w:t>中国大坝工程学会2022年科技进步奖、技术发明奖</w:t>
      </w:r>
      <w:r>
        <w:rPr>
          <w:rFonts w:hint="eastAsia" w:ascii="Times New Roman" w:hAnsi="Times New Roman" w:eastAsia="仿宋_GB2312"/>
          <w:bCs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/>
          <w:bCs/>
          <w:sz w:val="32"/>
          <w:szCs w:val="32"/>
        </w:rPr>
        <w:t>第四届大坝杰出工程师奖、堆石坝国际里程碑工程奖</w:t>
      </w:r>
      <w:r>
        <w:rPr>
          <w:rFonts w:hint="eastAsia" w:ascii="Times New Roman" w:hAnsi="Times New Roman" w:eastAsia="仿宋_GB2312"/>
          <w:bCs/>
          <w:sz w:val="32"/>
          <w:szCs w:val="32"/>
          <w:lang w:eastAsia="zh-CN"/>
        </w:rPr>
        <w:t>。</w:t>
      </w:r>
    </w:p>
    <w:p>
      <w:pPr>
        <w:ind w:firstLine="620" w:firstLineChars="200"/>
        <w:jc w:val="both"/>
        <w:rPr>
          <w:rFonts w:hint="eastAsia" w:ascii="Times New Roman" w:hAnsi="Times New Roman" w:eastAsia="仿宋_GB2312"/>
          <w:bCs/>
          <w:color w:val="0000FF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bCs/>
          <w:sz w:val="32"/>
          <w:szCs w:val="32"/>
        </w:rPr>
        <w:t>根据</w:t>
      </w:r>
      <w:r>
        <w:rPr>
          <w:rFonts w:hint="eastAsia" w:ascii="Times New Roman" w:hAnsi="Times New Roman" w:eastAsia="仿宋_GB2312"/>
          <w:bCs/>
          <w:sz w:val="32"/>
          <w:szCs w:val="32"/>
          <w:lang w:eastAsia="zh-CN"/>
        </w:rPr>
        <w:t>业务</w:t>
      </w:r>
      <w:r>
        <w:rPr>
          <w:rFonts w:hint="eastAsia" w:ascii="Times New Roman" w:hAnsi="Times New Roman" w:eastAsia="仿宋_GB2312"/>
          <w:bCs/>
          <w:sz w:val="32"/>
          <w:szCs w:val="32"/>
        </w:rPr>
        <w:t>主管单位和地方防疫要求</w:t>
      </w:r>
      <w:r>
        <w:rPr>
          <w:rFonts w:hint="eastAsia" w:ascii="Times New Roman" w:hAnsi="Times New Roman" w:eastAsia="仿宋_GB2312"/>
          <w:bCs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bCs/>
          <w:sz w:val="32"/>
          <w:szCs w:val="32"/>
        </w:rPr>
        <w:t>会议将严格遵守疫情防控有关规定灵活设置会议形式，做好</w:t>
      </w:r>
      <w:r>
        <w:rPr>
          <w:rFonts w:hint="eastAsia" w:ascii="Times New Roman" w:hAnsi="Times New Roman" w:eastAsia="仿宋_GB2312"/>
          <w:bCs/>
          <w:sz w:val="32"/>
          <w:szCs w:val="32"/>
          <w:lang w:eastAsia="zh-CN"/>
        </w:rPr>
        <w:t>相关</w:t>
      </w:r>
      <w:r>
        <w:rPr>
          <w:rFonts w:hint="eastAsia" w:ascii="Times New Roman" w:hAnsi="Times New Roman" w:eastAsia="仿宋_GB2312"/>
          <w:bCs/>
          <w:sz w:val="32"/>
          <w:szCs w:val="32"/>
        </w:rPr>
        <w:t>防控工作</w:t>
      </w:r>
      <w:r>
        <w:rPr>
          <w:rFonts w:hint="eastAsia" w:ascii="仿宋" w:hAnsi="仿宋" w:eastAsia="仿宋_GB2312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lang w:val="en-US" w:eastAsia="zh-CN"/>
        </w:rPr>
        <w:t>会议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highlight w:val="none"/>
          <w:lang w:val="en-US" w:eastAsia="zh-CN"/>
        </w:rPr>
        <w:t>将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lang w:val="en-US" w:eastAsia="zh-CN"/>
        </w:rPr>
        <w:t>同步采取线上直播会议形式，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highlight w:val="none"/>
          <w:lang w:val="en-US" w:eastAsia="zh-CN"/>
        </w:rPr>
        <w:t>进一步拓宽参会渠道，提升会议影响。</w:t>
      </w:r>
    </w:p>
    <w:p>
      <w:pPr>
        <w:widowControl w:val="0"/>
        <w:ind w:firstLine="620" w:firstLineChars="200"/>
        <w:jc w:val="both"/>
        <w:rPr>
          <w:rFonts w:hint="eastAsia" w:ascii="仿宋" w:hAnsi="仿宋" w:eastAsia="仿宋_GB2312"/>
          <w:color w:val="auto"/>
          <w:sz w:val="32"/>
          <w:szCs w:val="32"/>
          <w:lang w:eastAsia="zh-CN"/>
        </w:rPr>
      </w:pPr>
      <w:r>
        <w:rPr>
          <w:rFonts w:hint="eastAsia" w:ascii="仿宋" w:hAnsi="仿宋" w:eastAsia="仿宋_GB2312"/>
          <w:sz w:val="32"/>
          <w:szCs w:val="32"/>
        </w:rPr>
        <w:t>为了给各有关单位提供有关新技术、新产品、新设备的展示平台，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shd w:val="clear"/>
        </w:rPr>
        <w:t>促进交流与合作，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shd w:val="clear"/>
          <w:lang w:val="en-US" w:eastAsia="zh-CN"/>
        </w:rPr>
        <w:t>本次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shd w:val="clear"/>
        </w:rPr>
        <w:t>会议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shd w:val="clear"/>
          <w:lang w:val="en-US" w:eastAsia="zh-CN"/>
        </w:rPr>
        <w:t>将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shd w:val="clear"/>
        </w:rPr>
        <w:t>提供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lang w:val="en-US" w:eastAsia="zh-CN"/>
        </w:rPr>
        <w:t>现场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</w:rPr>
        <w:t>技术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lang w:val="en-US" w:eastAsia="zh-CN"/>
        </w:rPr>
        <w:t>展览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lang w:val="en-US" w:eastAsia="zh-CN"/>
        </w:rPr>
        <w:t>线上技术展厅、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highlight w:val="none"/>
        </w:rPr>
        <w:t>会议</w:t>
      </w:r>
      <w:r>
        <w:rPr>
          <w:rFonts w:hint="eastAsia" w:ascii="Times New Roman" w:hAnsi="Times New Roman" w:eastAsia="仿宋_GB2312"/>
          <w:bCs/>
          <w:color w:val="auto"/>
          <w:sz w:val="32"/>
          <w:szCs w:val="32"/>
          <w:highlight w:val="none"/>
          <w:lang w:val="en-US" w:eastAsia="zh-CN"/>
        </w:rPr>
        <w:t>资料宣传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lang w:val="en-US" w:eastAsia="zh-CN"/>
        </w:rPr>
        <w:t>、会后宣传展示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shd w:val="clear"/>
        </w:rPr>
        <w:t>等多种宣传方式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shd w:val="clear"/>
          <w:lang w:eastAsia="zh-CN"/>
        </w:rPr>
        <w:t>。现场技术展区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shd w:val="clear"/>
          <w:lang w:val="en-US" w:eastAsia="zh-CN"/>
        </w:rPr>
        <w:t>设置</w:t>
      </w:r>
      <w:r>
        <w:rPr>
          <w:rFonts w:hint="eastAsia" w:ascii="仿宋" w:hAnsi="仿宋" w:eastAsia="仿宋_GB2312"/>
          <w:color w:val="auto"/>
          <w:sz w:val="32"/>
          <w:szCs w:val="32"/>
          <w:highlight w:val="none"/>
          <w:shd w:val="clear"/>
          <w:lang w:eastAsia="zh-CN"/>
        </w:rPr>
        <w:t>会议茶歇，供参会代表前往交流；各现场参展单位资料将同时发布至水库大坝云平台线上展厅，单位简介将收入会</w:t>
      </w:r>
      <w:r>
        <w:rPr>
          <w:rFonts w:hint="eastAsia" w:ascii="仿宋" w:hAnsi="仿宋" w:eastAsia="仿宋_GB2312"/>
          <w:color w:val="auto"/>
          <w:sz w:val="32"/>
          <w:szCs w:val="32"/>
          <w:lang w:eastAsia="zh-CN"/>
        </w:rPr>
        <w:t>议手册中展示。</w:t>
      </w:r>
    </w:p>
    <w:p>
      <w:pPr>
        <w:widowControl w:val="0"/>
        <w:ind w:firstLine="620" w:firstLineChars="200"/>
        <w:jc w:val="both"/>
        <w:rPr>
          <w:rFonts w:ascii="仿宋" w:hAnsi="仿宋" w:eastAsia="仿宋_GB2312"/>
          <w:sz w:val="32"/>
          <w:szCs w:val="32"/>
        </w:rPr>
      </w:pPr>
      <w:r>
        <w:rPr>
          <w:rFonts w:hint="eastAsia" w:ascii="仿宋" w:hAnsi="仿宋" w:eastAsia="仿宋_GB2312"/>
          <w:color w:val="auto"/>
          <w:sz w:val="32"/>
          <w:szCs w:val="32"/>
        </w:rPr>
        <w:t>谨此</w:t>
      </w:r>
      <w:r>
        <w:rPr>
          <w:rFonts w:hint="eastAsia" w:ascii="仿宋" w:hAnsi="仿宋" w:eastAsia="仿宋_GB2312"/>
          <w:color w:val="auto"/>
          <w:sz w:val="32"/>
          <w:szCs w:val="32"/>
          <w:lang w:eastAsia="zh-CN"/>
        </w:rPr>
        <w:t>，诚</w:t>
      </w:r>
      <w:r>
        <w:rPr>
          <w:rFonts w:hint="eastAsia" w:ascii="仿宋" w:hAnsi="仿宋" w:eastAsia="仿宋_GB2312"/>
          <w:color w:val="auto"/>
          <w:sz w:val="32"/>
          <w:szCs w:val="32"/>
        </w:rPr>
        <w:t>邀贵单位与会参展。如蒙同意，请</w:t>
      </w:r>
      <w:r>
        <w:rPr>
          <w:rFonts w:hint="eastAsia" w:ascii="仿宋" w:hAnsi="仿宋" w:eastAsia="仿宋_GB2312"/>
          <w:color w:val="auto"/>
          <w:sz w:val="32"/>
          <w:szCs w:val="32"/>
          <w:lang w:eastAsia="zh-CN"/>
        </w:rPr>
        <w:t>将</w:t>
      </w:r>
      <w:r>
        <w:rPr>
          <w:rFonts w:hint="eastAsia" w:ascii="仿宋" w:hAnsi="仿宋" w:eastAsia="仿宋_GB2312"/>
          <w:color w:val="auto"/>
          <w:sz w:val="32"/>
          <w:szCs w:val="32"/>
        </w:rPr>
        <w:t>附件回执</w:t>
      </w:r>
      <w:r>
        <w:rPr>
          <w:rFonts w:hint="eastAsia" w:ascii="仿宋" w:hAnsi="仿宋" w:eastAsia="仿宋_GB2312"/>
          <w:color w:val="auto"/>
          <w:sz w:val="32"/>
          <w:szCs w:val="32"/>
          <w:lang w:eastAsia="zh-CN"/>
        </w:rPr>
        <w:t>表和单位简介</w:t>
      </w:r>
      <w:r>
        <w:rPr>
          <w:rFonts w:hint="eastAsia" w:ascii="仿宋" w:hAnsi="仿宋" w:eastAsia="仿宋_GB2312"/>
          <w:color w:val="auto"/>
          <w:sz w:val="32"/>
          <w:szCs w:val="32"/>
          <w:lang w:val="en-US" w:eastAsia="zh-CN"/>
        </w:rPr>
        <w:t>等资料</w:t>
      </w:r>
      <w:r>
        <w:rPr>
          <w:rFonts w:hint="eastAsia" w:ascii="仿宋" w:hAnsi="仿宋" w:eastAsia="仿宋_GB2312"/>
          <w:color w:val="auto"/>
          <w:sz w:val="32"/>
          <w:szCs w:val="32"/>
        </w:rPr>
        <w:t>于</w:t>
      </w:r>
      <w:r>
        <w:rPr>
          <w:rFonts w:hint="eastAsia" w:ascii="仿宋" w:hAnsi="仿宋" w:eastAsia="仿宋_GB2312"/>
          <w:color w:val="auto"/>
          <w:sz w:val="32"/>
          <w:szCs w:val="32"/>
          <w:lang w:val="en-US" w:eastAsia="zh-CN"/>
        </w:rPr>
        <w:t>2022年10</w:t>
      </w:r>
      <w:r>
        <w:rPr>
          <w:rFonts w:hint="eastAsia" w:ascii="仿宋" w:hAnsi="仿宋" w:eastAsia="仿宋_GB2312"/>
          <w:color w:val="auto"/>
          <w:sz w:val="32"/>
          <w:szCs w:val="32"/>
        </w:rPr>
        <w:t>月</w:t>
      </w:r>
      <w:r>
        <w:rPr>
          <w:rFonts w:hint="eastAsia" w:ascii="仿宋" w:hAnsi="仿宋" w:eastAsia="仿宋_GB2312"/>
          <w:color w:val="auto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_GB2312"/>
          <w:color w:val="auto"/>
          <w:sz w:val="32"/>
          <w:szCs w:val="32"/>
        </w:rPr>
        <w:t>日（周</w:t>
      </w:r>
      <w:r>
        <w:rPr>
          <w:rFonts w:hint="eastAsia" w:ascii="仿宋" w:hAnsi="仿宋" w:eastAsia="仿宋_GB2312"/>
          <w:color w:val="auto"/>
          <w:sz w:val="32"/>
          <w:szCs w:val="32"/>
          <w:lang w:eastAsia="zh-CN"/>
        </w:rPr>
        <w:t>五</w:t>
      </w:r>
      <w:r>
        <w:rPr>
          <w:rFonts w:hint="eastAsia" w:ascii="仿宋" w:hAnsi="仿宋" w:eastAsia="仿宋_GB2312"/>
          <w:color w:val="auto"/>
          <w:sz w:val="32"/>
          <w:szCs w:val="32"/>
        </w:rPr>
        <w:t>）前发至学会秘书处。</w:t>
      </w:r>
    </w:p>
    <w:p>
      <w:pPr>
        <w:widowControl w:val="0"/>
        <w:ind w:firstLine="620" w:firstLineChars="200"/>
        <w:jc w:val="both"/>
        <w:rPr>
          <w:rFonts w:hint="eastAsia" w:ascii="仿宋" w:hAnsi="仿宋" w:eastAsia="仿宋_GB2312"/>
          <w:sz w:val="32"/>
          <w:szCs w:val="32"/>
        </w:rPr>
      </w:pPr>
      <w:r>
        <w:rPr>
          <w:rFonts w:hint="eastAsia" w:ascii="仿宋" w:hAnsi="仿宋" w:eastAsia="仿宋_GB2312"/>
          <w:sz w:val="32"/>
          <w:szCs w:val="32"/>
          <w:lang w:val="en-US" w:eastAsia="zh-CN"/>
        </w:rPr>
        <w:t>参展联系</w:t>
      </w:r>
      <w:r>
        <w:rPr>
          <w:rFonts w:ascii="仿宋" w:hAnsi="仿宋" w:eastAsia="仿宋_GB2312"/>
          <w:sz w:val="32"/>
          <w:szCs w:val="32"/>
        </w:rPr>
        <w:t>：</w:t>
      </w:r>
      <w:r>
        <w:rPr>
          <w:rFonts w:hint="eastAsia" w:ascii="仿宋" w:hAnsi="仿宋" w:eastAsia="仿宋_GB2312"/>
          <w:sz w:val="32"/>
          <w:szCs w:val="32"/>
          <w:lang w:val="en-US" w:eastAsia="zh-CN"/>
        </w:rPr>
        <w:t>黄贺</w:t>
      </w:r>
      <w:r>
        <w:rPr>
          <w:rFonts w:hint="eastAsia" w:ascii="仿宋" w:hAnsi="仿宋" w:eastAsia="仿宋_GB2312"/>
          <w:sz w:val="32"/>
          <w:szCs w:val="32"/>
        </w:rPr>
        <w:t xml:space="preserve">  010-6878</w:t>
      </w:r>
      <w:r>
        <w:rPr>
          <w:rFonts w:hint="eastAsia" w:ascii="仿宋" w:hAnsi="仿宋" w:eastAsia="仿宋_GB2312"/>
          <w:sz w:val="32"/>
          <w:szCs w:val="32"/>
          <w:lang w:val="en-US" w:eastAsia="zh-CN"/>
        </w:rPr>
        <w:t>9757</w:t>
      </w:r>
    </w:p>
    <w:p>
      <w:pPr>
        <w:widowControl w:val="0"/>
        <w:ind w:firstLine="620" w:firstLineChars="200"/>
        <w:jc w:val="both"/>
        <w:rPr>
          <w:rFonts w:hint="default" w:ascii="仿宋" w:hAnsi="仿宋" w:eastAsia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_GB2312"/>
          <w:sz w:val="32"/>
          <w:szCs w:val="32"/>
          <w:lang w:val="en-US" w:eastAsia="zh-CN"/>
        </w:rPr>
        <w:t>财务联系：</w:t>
      </w:r>
      <w:r>
        <w:rPr>
          <w:rFonts w:hint="eastAsia" w:ascii="仿宋" w:hAnsi="仿宋" w:eastAsia="仿宋_GB2312"/>
          <w:sz w:val="32"/>
          <w:szCs w:val="32"/>
        </w:rPr>
        <w:t>张炬</w:t>
      </w:r>
      <w:r>
        <w:rPr>
          <w:rFonts w:hint="eastAsia" w:ascii="仿宋" w:hAnsi="仿宋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_GB2312"/>
          <w:sz w:val="32"/>
          <w:szCs w:val="32"/>
        </w:rPr>
        <w:t>010-68781688</w:t>
      </w:r>
    </w:p>
    <w:p>
      <w:pPr>
        <w:widowControl w:val="0"/>
        <w:ind w:firstLine="620" w:firstLineChars="200"/>
        <w:jc w:val="both"/>
        <w:rPr>
          <w:rFonts w:ascii="仿宋" w:hAnsi="仿宋" w:eastAsia="仿宋_GB2312"/>
          <w:sz w:val="32"/>
          <w:szCs w:val="32"/>
        </w:rPr>
      </w:pPr>
      <w:r>
        <w:rPr>
          <w:rFonts w:hint="eastAsia" w:ascii="仿宋" w:hAnsi="仿宋" w:eastAsia="仿宋_GB2312"/>
          <w:sz w:val="32"/>
          <w:szCs w:val="32"/>
        </w:rPr>
        <w:t>邮箱：</w:t>
      </w:r>
      <w:r>
        <w:rPr>
          <w:rFonts w:ascii="仿宋" w:hAnsi="仿宋" w:eastAsia="仿宋_GB2312"/>
          <w:sz w:val="32"/>
          <w:szCs w:val="32"/>
        </w:rPr>
        <w:t>chincold@vip.</w:t>
      </w:r>
      <w:r>
        <w:rPr>
          <w:rFonts w:hint="eastAsia" w:ascii="仿宋" w:hAnsi="仿宋" w:eastAsia="仿宋_GB2312"/>
          <w:sz w:val="32"/>
          <w:szCs w:val="32"/>
        </w:rPr>
        <w:t>126</w:t>
      </w:r>
      <w:r>
        <w:rPr>
          <w:rFonts w:ascii="仿宋" w:hAnsi="仿宋" w:eastAsia="仿宋_GB2312"/>
          <w:sz w:val="32"/>
          <w:szCs w:val="32"/>
        </w:rPr>
        <w:t>.com</w:t>
      </w:r>
    </w:p>
    <w:p>
      <w:pPr>
        <w:widowControl w:val="0"/>
        <w:ind w:firstLine="620" w:firstLineChars="200"/>
        <w:jc w:val="both"/>
        <w:rPr>
          <w:rFonts w:hint="default" w:ascii="仿宋" w:hAnsi="仿宋" w:eastAsia="仿宋_GB2312"/>
          <w:sz w:val="32"/>
          <w:szCs w:val="32"/>
          <w:lang w:val="en-US" w:eastAsia="zh-CN"/>
        </w:rPr>
      </w:pPr>
      <w:r>
        <w:rPr>
          <w:rFonts w:ascii="仿宋" w:hAnsi="仿宋" w:eastAsia="仿宋_GB2312"/>
          <w:sz w:val="32"/>
          <w:szCs w:val="32"/>
        </w:rPr>
        <w:t>附件1：</w:t>
      </w:r>
      <w:r>
        <w:rPr>
          <w:rFonts w:hint="eastAsia" w:ascii="仿宋" w:hAnsi="仿宋" w:eastAsia="仿宋_GB2312"/>
          <w:sz w:val="32"/>
          <w:szCs w:val="32"/>
        </w:rPr>
        <w:t>会议</w:t>
      </w:r>
      <w:r>
        <w:rPr>
          <w:rFonts w:hint="eastAsia" w:ascii="仿宋" w:hAnsi="仿宋" w:eastAsia="仿宋_GB2312"/>
          <w:sz w:val="32"/>
          <w:szCs w:val="32"/>
          <w:lang w:val="en-US" w:eastAsia="zh-CN"/>
        </w:rPr>
        <w:t>参展</w:t>
      </w:r>
      <w:r>
        <w:rPr>
          <w:rFonts w:hint="eastAsia" w:ascii="仿宋" w:hAnsi="仿宋" w:eastAsia="仿宋_GB2312"/>
          <w:sz w:val="32"/>
          <w:szCs w:val="32"/>
        </w:rPr>
        <w:t>回执表</w:t>
      </w:r>
      <w:r>
        <w:rPr>
          <w:rFonts w:hint="eastAsia" w:ascii="仿宋" w:hAnsi="仿宋" w:eastAsia="仿宋_GB2312"/>
          <w:sz w:val="32"/>
          <w:szCs w:val="32"/>
          <w:lang w:val="en-US" w:eastAsia="zh-CN"/>
        </w:rPr>
        <w:t>及资料明细</w:t>
      </w:r>
    </w:p>
    <w:p>
      <w:pPr>
        <w:widowControl w:val="0"/>
        <w:ind w:firstLine="620" w:firstLineChars="200"/>
        <w:jc w:val="both"/>
        <w:rPr>
          <w:rFonts w:hint="eastAsia" w:ascii="仿宋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_GB2312"/>
          <w:sz w:val="32"/>
          <w:szCs w:val="32"/>
        </w:rPr>
        <w:t>附件2：</w:t>
      </w:r>
      <w:r>
        <w:rPr>
          <w:rFonts w:hint="eastAsia" w:ascii="仿宋" w:hAnsi="仿宋" w:eastAsia="仿宋_GB2312"/>
          <w:sz w:val="32"/>
          <w:szCs w:val="32"/>
          <w:lang w:val="en-US" w:eastAsia="zh-CN"/>
        </w:rPr>
        <w:t>线下展</w:t>
      </w:r>
      <w:r>
        <w:rPr>
          <w:rFonts w:hint="eastAsia" w:ascii="仿宋" w:hAnsi="仿宋" w:eastAsia="仿宋_GB2312"/>
          <w:color w:val="auto"/>
          <w:sz w:val="32"/>
          <w:szCs w:val="32"/>
          <w:lang w:val="en-US" w:eastAsia="zh-CN"/>
        </w:rPr>
        <w:t>区位置及说明</w:t>
      </w:r>
    </w:p>
    <w:p>
      <w:pPr>
        <w:widowControl w:val="0"/>
        <w:ind w:firstLine="620" w:firstLineChars="200"/>
        <w:jc w:val="both"/>
        <w:rPr>
          <w:rFonts w:hint="default" w:ascii="仿宋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_GB2312"/>
          <w:color w:val="auto"/>
          <w:sz w:val="32"/>
          <w:szCs w:val="32"/>
        </w:rPr>
        <w:t>附件</w:t>
      </w:r>
      <w:r>
        <w:rPr>
          <w:rFonts w:hint="eastAsia" w:ascii="仿宋" w:hAnsi="仿宋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_GB2312"/>
          <w:color w:val="auto"/>
          <w:sz w:val="32"/>
          <w:szCs w:val="32"/>
        </w:rPr>
        <w:t>：</w:t>
      </w:r>
      <w:r>
        <w:rPr>
          <w:rFonts w:hint="eastAsia" w:ascii="仿宋" w:hAnsi="仿宋" w:eastAsia="仿宋_GB2312"/>
          <w:color w:val="auto"/>
          <w:sz w:val="32"/>
          <w:szCs w:val="32"/>
          <w:lang w:val="en-US" w:eastAsia="zh-CN"/>
        </w:rPr>
        <w:t>线上展厅效果图</w:t>
      </w:r>
    </w:p>
    <w:p>
      <w:pPr>
        <w:widowControl w:val="0"/>
        <w:ind w:firstLine="620" w:firstLineChars="200"/>
        <w:jc w:val="both"/>
        <w:rPr>
          <w:rFonts w:hint="eastAsia" w:ascii="仿宋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_GB2312"/>
          <w:color w:val="auto"/>
          <w:sz w:val="32"/>
          <w:szCs w:val="32"/>
          <w:lang w:val="en-US" w:eastAsia="zh-CN"/>
        </w:rPr>
        <w:t>附件4：单位简介模板</w:t>
      </w:r>
    </w:p>
    <w:p>
      <w:pPr>
        <w:pStyle w:val="2"/>
        <w:rPr>
          <w:rFonts w:hint="eastAsia" w:ascii="仿宋" w:hAnsi="仿宋" w:eastAsia="仿宋_GB2312"/>
          <w:color w:val="auto"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color w:val="auto"/>
          <w:lang w:val="en-US" w:eastAsia="zh-CN"/>
        </w:rPr>
      </w:pPr>
    </w:p>
    <w:p>
      <w:pPr>
        <w:widowControl w:val="0"/>
        <w:jc w:val="both"/>
        <w:rPr>
          <w:rFonts w:hint="eastAsia" w:ascii="仿宋" w:hAnsi="仿宋" w:eastAsia="仿宋_GB2312"/>
          <w:color w:val="auto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widowControl w:val="0"/>
        <w:ind w:firstLine="5270" w:firstLineChars="1700"/>
        <w:jc w:val="both"/>
        <w:rPr>
          <w:rFonts w:ascii="仿宋" w:hAnsi="仿宋" w:eastAsia="仿宋_GB2312"/>
          <w:color w:val="auto"/>
          <w:sz w:val="32"/>
          <w:szCs w:val="32"/>
        </w:rPr>
      </w:pPr>
      <w:r>
        <w:rPr>
          <w:rFonts w:hint="eastAsia" w:ascii="仿宋" w:hAnsi="仿宋" w:eastAsia="仿宋_GB2312"/>
          <w:color w:val="auto"/>
          <w:sz w:val="32"/>
          <w:szCs w:val="32"/>
        </w:rPr>
        <w:t xml:space="preserve">中国大坝工程学会           </w:t>
      </w:r>
    </w:p>
    <w:p>
      <w:pPr>
        <w:widowControl w:val="0"/>
        <w:ind w:firstLine="5364" w:firstLineChars="1800"/>
        <w:jc w:val="both"/>
        <w:rPr>
          <w:rFonts w:ascii="仿宋" w:hAnsi="仿宋" w:eastAsia="仿宋"/>
          <w:color w:val="auto"/>
          <w:spacing w:val="-23"/>
          <w:sz w:val="32"/>
          <w:szCs w:val="32"/>
        </w:rPr>
      </w:pPr>
      <w:r>
        <w:rPr>
          <w:rFonts w:ascii="仿宋" w:hAnsi="仿宋" w:eastAsia="仿宋_GB2312"/>
          <w:color w:val="auto"/>
          <w:spacing w:val="-11"/>
          <w:sz w:val="32"/>
          <w:szCs w:val="32"/>
        </w:rPr>
        <w:t>20</w:t>
      </w:r>
      <w:r>
        <w:rPr>
          <w:rFonts w:hint="eastAsia" w:ascii="仿宋" w:hAnsi="仿宋" w:eastAsia="仿宋_GB2312"/>
          <w:color w:val="auto"/>
          <w:spacing w:val="-11"/>
          <w:sz w:val="32"/>
          <w:szCs w:val="32"/>
        </w:rPr>
        <w:t>2</w:t>
      </w:r>
      <w:r>
        <w:rPr>
          <w:rFonts w:hint="eastAsia" w:ascii="仿宋" w:hAnsi="仿宋" w:eastAsia="仿宋_GB2312"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ascii="仿宋" w:hAnsi="仿宋" w:eastAsia="仿宋_GB2312"/>
          <w:color w:val="auto"/>
          <w:spacing w:val="-11"/>
          <w:sz w:val="32"/>
          <w:szCs w:val="32"/>
        </w:rPr>
        <w:t>年</w:t>
      </w:r>
      <w:r>
        <w:rPr>
          <w:rFonts w:hint="eastAsia" w:ascii="仿宋" w:hAnsi="仿宋" w:eastAsia="仿宋_GB2312"/>
          <w:color w:val="auto"/>
          <w:spacing w:val="-11"/>
          <w:sz w:val="32"/>
          <w:szCs w:val="32"/>
          <w:lang w:val="en-US" w:eastAsia="zh-CN"/>
        </w:rPr>
        <w:t>9</w:t>
      </w:r>
      <w:r>
        <w:rPr>
          <w:rFonts w:ascii="仿宋" w:hAnsi="仿宋" w:eastAsia="仿宋_GB2312"/>
          <w:color w:val="auto"/>
          <w:spacing w:val="-11"/>
          <w:sz w:val="32"/>
          <w:szCs w:val="32"/>
        </w:rPr>
        <w:t>月</w:t>
      </w:r>
      <w:r>
        <w:rPr>
          <w:rFonts w:hint="eastAsia" w:ascii="仿宋" w:hAnsi="仿宋" w:eastAsia="仿宋_GB2312"/>
          <w:color w:val="auto"/>
          <w:spacing w:val="-11"/>
          <w:sz w:val="32"/>
          <w:szCs w:val="32"/>
          <w:lang w:val="en-US" w:eastAsia="zh-CN"/>
        </w:rPr>
        <w:t>15</w:t>
      </w:r>
      <w:r>
        <w:rPr>
          <w:rFonts w:ascii="仿宋" w:hAnsi="仿宋" w:eastAsia="仿宋_GB2312"/>
          <w:color w:val="auto"/>
          <w:spacing w:val="-11"/>
          <w:sz w:val="32"/>
          <w:szCs w:val="32"/>
        </w:rPr>
        <w:t>日</w:t>
      </w:r>
    </w:p>
    <w:p>
      <w:pPr>
        <w:widowControl w:val="0"/>
        <w:jc w:val="both"/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t xml:space="preserve">                                </w:t>
      </w:r>
    </w:p>
    <w:p>
      <w:pPr>
        <w:widowControl w:val="0"/>
        <w:jc w:val="both"/>
        <w:rPr>
          <w:rFonts w:hint="eastAsia" w:ascii="仿宋" w:hAnsi="仿宋" w:eastAsia="仿宋"/>
          <w:color w:val="auto"/>
          <w:sz w:val="32"/>
          <w:szCs w:val="32"/>
        </w:rPr>
      </w:pPr>
    </w:p>
    <w:p>
      <w:pPr>
        <w:widowControl w:val="0"/>
        <w:jc w:val="both"/>
        <w:rPr>
          <w:rFonts w:hint="eastAsia" w:ascii="仿宋" w:hAnsi="仿宋" w:eastAsia="仿宋"/>
          <w:color w:val="auto"/>
          <w:sz w:val="32"/>
          <w:szCs w:val="32"/>
        </w:rPr>
      </w:pPr>
    </w:p>
    <w:p>
      <w:pPr>
        <w:widowControl w:val="0"/>
        <w:jc w:val="both"/>
        <w:rPr>
          <w:rFonts w:hint="eastAsia" w:ascii="仿宋" w:hAnsi="仿宋" w:eastAsia="仿宋"/>
          <w:color w:val="auto"/>
          <w:sz w:val="32"/>
          <w:szCs w:val="32"/>
        </w:rPr>
      </w:pPr>
    </w:p>
    <w:p>
      <w:pPr>
        <w:widowControl w:val="0"/>
        <w:jc w:val="both"/>
        <w:rPr>
          <w:rFonts w:hint="eastAsia" w:ascii="仿宋" w:hAnsi="仿宋" w:eastAsia="仿宋"/>
          <w:color w:val="auto"/>
          <w:sz w:val="32"/>
          <w:szCs w:val="32"/>
        </w:rPr>
      </w:pPr>
    </w:p>
    <w:p>
      <w:pPr>
        <w:pStyle w:val="2"/>
        <w:rPr>
          <w:rFonts w:hint="eastAsia" w:ascii="仿宋" w:hAnsi="仿宋" w:eastAsia="仿宋"/>
          <w:color w:val="auto"/>
          <w:sz w:val="32"/>
          <w:szCs w:val="32"/>
        </w:rPr>
      </w:pPr>
    </w:p>
    <w:p>
      <w:pPr>
        <w:pStyle w:val="2"/>
        <w:rPr>
          <w:rFonts w:hint="eastAsia" w:ascii="仿宋" w:hAnsi="仿宋" w:eastAsia="仿宋"/>
          <w:color w:val="auto"/>
          <w:sz w:val="32"/>
          <w:szCs w:val="32"/>
        </w:rPr>
      </w:pPr>
    </w:p>
    <w:p>
      <w:pPr>
        <w:pStyle w:val="2"/>
        <w:rPr>
          <w:rFonts w:hint="eastAsia" w:ascii="仿宋" w:hAnsi="仿宋" w:eastAsia="仿宋"/>
          <w:color w:val="auto"/>
          <w:sz w:val="32"/>
          <w:szCs w:val="32"/>
        </w:rPr>
      </w:pPr>
    </w:p>
    <w:p>
      <w:pPr>
        <w:pStyle w:val="2"/>
        <w:rPr>
          <w:rFonts w:hint="eastAsia" w:ascii="仿宋" w:hAnsi="仿宋" w:eastAsia="仿宋"/>
          <w:color w:val="auto"/>
          <w:sz w:val="32"/>
          <w:szCs w:val="32"/>
        </w:rPr>
      </w:pPr>
    </w:p>
    <w:p>
      <w:pPr>
        <w:pStyle w:val="2"/>
        <w:rPr>
          <w:rFonts w:hint="eastAsia" w:ascii="仿宋" w:hAnsi="仿宋" w:eastAsia="仿宋"/>
          <w:color w:val="auto"/>
          <w:sz w:val="32"/>
          <w:szCs w:val="32"/>
        </w:rPr>
      </w:pPr>
    </w:p>
    <w:p>
      <w:pPr>
        <w:rPr>
          <w:rFonts w:hint="eastAsia" w:ascii="仿宋" w:hAnsi="仿宋" w:eastAsia="仿宋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主送：各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有关单位</w:t>
      </w:r>
    </w:p>
    <w:tbl>
      <w:tblPr>
        <w:tblStyle w:val="16"/>
        <w:tblW w:w="8263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3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63" w:type="dxa"/>
            <w:shd w:val="clear" w:color="auto" w:fill="auto"/>
            <w:vAlign w:val="center"/>
          </w:tcPr>
          <w:p>
            <w:pPr>
              <w:widowControl w:val="0"/>
              <w:jc w:val="both"/>
              <w:rPr>
                <w:rFonts w:ascii="仿宋" w:hAnsi="仿宋" w:eastAsia="仿宋"/>
                <w:color w:val="auto"/>
                <w:sz w:val="32"/>
                <w:szCs w:val="32"/>
              </w:rPr>
            </w:pP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中国大坝工程学会</w:t>
            </w:r>
            <w:r>
              <w:rPr>
                <w:rFonts w:ascii="仿宋" w:hAnsi="仿宋" w:eastAsia="仿宋"/>
                <w:color w:val="auto"/>
                <w:sz w:val="32"/>
                <w:szCs w:val="32"/>
              </w:rPr>
              <w:t xml:space="preserve"> </w:t>
            </w: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 xml:space="preserve">       </w:t>
            </w:r>
            <w:r>
              <w:rPr>
                <w:rFonts w:ascii="仿宋" w:hAnsi="仿宋" w:eastAsia="仿宋"/>
                <w:color w:val="auto"/>
                <w:sz w:val="32"/>
                <w:szCs w:val="32"/>
              </w:rPr>
              <w:t xml:space="preserve">       </w:t>
            </w: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 xml:space="preserve"> </w:t>
            </w:r>
            <w:r>
              <w:rPr>
                <w:rFonts w:ascii="仿宋" w:hAnsi="仿宋" w:eastAsia="仿宋"/>
                <w:color w:val="auto"/>
                <w:sz w:val="32"/>
                <w:szCs w:val="32"/>
              </w:rPr>
              <w:t>20</w:t>
            </w: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32"/>
                <w:szCs w:val="32"/>
                <w:lang w:val="en-US" w:eastAsia="zh-CN"/>
              </w:rPr>
              <w:t>2</w:t>
            </w: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年</w:t>
            </w:r>
            <w:r>
              <w:rPr>
                <w:rFonts w:hint="eastAsia" w:ascii="仿宋" w:hAnsi="仿宋" w:eastAsia="仿宋"/>
                <w:color w:val="auto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月</w:t>
            </w:r>
            <w:r>
              <w:rPr>
                <w:rFonts w:hint="eastAsia" w:ascii="仿宋" w:hAnsi="仿宋" w:eastAsia="仿宋"/>
                <w:color w:val="auto"/>
                <w:sz w:val="32"/>
                <w:szCs w:val="32"/>
                <w:lang w:val="en-US" w:eastAsia="zh-CN"/>
              </w:rPr>
              <w:t>15</w:t>
            </w:r>
            <w:r>
              <w:rPr>
                <w:rFonts w:hint="eastAsia" w:ascii="仿宋" w:hAnsi="仿宋" w:eastAsia="仿宋"/>
                <w:color w:val="auto"/>
                <w:sz w:val="32"/>
                <w:szCs w:val="32"/>
              </w:rPr>
              <w:t>日印发</w:t>
            </w:r>
          </w:p>
        </w:tc>
      </w:tr>
    </w:tbl>
    <w:p>
      <w:pPr>
        <w:pStyle w:val="2"/>
        <w:rPr>
          <w:rFonts w:hint="eastAsia"/>
        </w:rPr>
      </w:pPr>
      <w:r>
        <w:rPr>
          <w:rFonts w:hint="eastAsia" w:ascii="黑体" w:hAnsi="黑体" w:eastAsia="黑体" w:cs="黑体"/>
          <w:sz w:val="28"/>
          <w:szCs w:val="28"/>
        </w:rPr>
        <w:t>附件1：</w:t>
      </w:r>
      <w:r>
        <w:rPr>
          <w:rFonts w:hint="eastAsia" w:asciiTheme="minorEastAsia" w:hAnsiTheme="minorEastAsia" w:eastAsiaTheme="minorEastAsia"/>
          <w:sz w:val="28"/>
          <w:szCs w:val="28"/>
        </w:rPr>
        <w:t xml:space="preserve">  </w:t>
      </w:r>
    </w:p>
    <w:p>
      <w:pPr>
        <w:pStyle w:val="2"/>
        <w:jc w:val="center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</w:rPr>
        <w:t>会议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参展</w:t>
      </w:r>
      <w:r>
        <w:rPr>
          <w:rFonts w:hint="eastAsia" w:ascii="黑体" w:hAnsi="黑体" w:eastAsia="黑体" w:cs="黑体"/>
          <w:sz w:val="28"/>
          <w:szCs w:val="32"/>
        </w:rPr>
        <w:t>回执表</w:t>
      </w:r>
    </w:p>
    <w:tbl>
      <w:tblPr>
        <w:tblStyle w:val="16"/>
        <w:tblW w:w="6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1892"/>
        <w:gridCol w:w="4768"/>
        <w:gridCol w:w="2020"/>
        <w:gridCol w:w="8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2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单位全称</w:t>
            </w:r>
          </w:p>
        </w:tc>
        <w:tc>
          <w:tcPr>
            <w:tcW w:w="7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手机：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2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详细地址</w:t>
            </w:r>
          </w:p>
        </w:tc>
        <w:tc>
          <w:tcPr>
            <w:tcW w:w="7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" w:hRule="atLeast"/>
          <w:jc w:val="center"/>
        </w:trPr>
        <w:tc>
          <w:tcPr>
            <w:tcW w:w="2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开票信息 专票□ 普票□</w:t>
            </w:r>
          </w:p>
        </w:tc>
        <w:tc>
          <w:tcPr>
            <w:tcW w:w="7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261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参展特别权益</w:t>
            </w:r>
          </w:p>
        </w:tc>
        <w:tc>
          <w:tcPr>
            <w:tcW w:w="76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pStyle w:val="2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付费参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加现场技术展台的单位，</w:t>
            </w:r>
            <w:r>
              <w:rPr>
                <w:rFonts w:hint="eastAsia"/>
                <w:color w:val="auto"/>
                <w:highlight w:val="none"/>
              </w:rPr>
              <w:t>会员单位减免</w:t>
            </w:r>
            <w:r>
              <w:rPr>
                <w:rFonts w:hint="eastAsia"/>
                <w:color w:val="auto"/>
              </w:rPr>
              <w:t>2人注册费，非会员单位减免1人注册费。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宣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传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式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格</w:t>
            </w:r>
          </w:p>
        </w:tc>
        <w:tc>
          <w:tcPr>
            <w:tcW w:w="66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宣传方式及明细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价格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一、会议资料宣传</w:t>
            </w:r>
          </w:p>
        </w:tc>
        <w:tc>
          <w:tcPr>
            <w:tcW w:w="4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1、会议指南手册 封二、封三（仅2个名额）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10000元/页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□ </w:t>
            </w:r>
            <w:r>
              <w:rPr>
                <w:rStyle w:val="43"/>
                <w:rFonts w:ascii="宋体" w:hAnsi="宋体" w:eastAsia="宋体" w:cs="宋体"/>
                <w:color w:val="auto"/>
                <w:spacing w:val="-5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Style w:val="41"/>
                <w:color w:val="auto"/>
                <w:spacing w:val="-5"/>
                <w:sz w:val="20"/>
                <w:szCs w:val="20"/>
                <w:lang w:val="en-US" w:eastAsia="zh-CN" w:bidi="ar"/>
              </w:rPr>
              <w:t>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92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2、参会代表名册 插页（不限名额）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5000元/页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□ </w:t>
            </w:r>
            <w:r>
              <w:rPr>
                <w:rStyle w:val="43"/>
                <w:rFonts w:ascii="宋体" w:hAnsi="宋体" w:eastAsia="宋体" w:cs="宋体"/>
                <w:color w:val="auto"/>
                <w:spacing w:val="-5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Style w:val="41"/>
                <w:color w:val="auto"/>
                <w:spacing w:val="-5"/>
                <w:sz w:val="20"/>
                <w:szCs w:val="20"/>
                <w:lang w:val="en-US" w:eastAsia="zh-CN" w:bidi="ar"/>
              </w:rPr>
              <w:t>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二、现场技术展台</w:t>
            </w:r>
          </w:p>
        </w:tc>
        <w:tc>
          <w:tcPr>
            <w:tcW w:w="4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现场展台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15000元/个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□ </w:t>
            </w:r>
            <w:r>
              <w:rPr>
                <w:rStyle w:val="44"/>
                <w:color w:val="auto"/>
                <w:spacing w:val="-5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45"/>
                <w:color w:val="auto"/>
                <w:spacing w:val="-5"/>
                <w:sz w:val="20"/>
                <w:szCs w:val="20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4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现场易拉宝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3000元/个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□ </w:t>
            </w:r>
            <w:r>
              <w:rPr>
                <w:rStyle w:val="44"/>
                <w:color w:val="auto"/>
                <w:spacing w:val="-5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45"/>
                <w:color w:val="auto"/>
                <w:spacing w:val="-5"/>
                <w:sz w:val="20"/>
                <w:szCs w:val="20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7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三、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在线技术展厅</w:t>
            </w:r>
          </w:p>
        </w:tc>
        <w:tc>
          <w:tcPr>
            <w:tcW w:w="4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将于会前、会间、会后全程在水库大坝云平台专区设置线上展厅，展示推广内容如下：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1、大会宣传网站主页logo展示推广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2、大会网上展厅展示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（1）单位简介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（2）单位宣传片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（3）单位宣传图片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（4）公司主页、联系方式等链接推广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3000元/个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□ </w:t>
            </w:r>
            <w:r>
              <w:rPr>
                <w:rStyle w:val="44"/>
                <w:spacing w:val="-5"/>
                <w:sz w:val="20"/>
                <w:szCs w:val="20"/>
                <w:lang w:val="en-US" w:eastAsia="zh-CN" w:bidi="ar"/>
              </w:rPr>
              <w:t xml:space="preserve"> </w:t>
            </w:r>
            <w:r>
              <w:rPr>
                <w:rStyle w:val="45"/>
                <w:spacing w:val="-5"/>
                <w:sz w:val="20"/>
                <w:szCs w:val="20"/>
                <w:lang w:val="en-US" w:eastAsia="zh-CN" w:bidi="ar"/>
              </w:rPr>
              <w:t>个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  <w:jc w:val="center"/>
        </w:trPr>
        <w:tc>
          <w:tcPr>
            <w:tcW w:w="7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四、会后宣传展示</w:t>
            </w:r>
          </w:p>
        </w:tc>
        <w:tc>
          <w:tcPr>
            <w:tcW w:w="4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技术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资料将发布至水库大坝云平台有关专区</w:t>
            </w:r>
          </w:p>
        </w:tc>
        <w:tc>
          <w:tcPr>
            <w:tcW w:w="2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免费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（仅对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提供在线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展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厅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资料的公司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开放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pacing w:val="-5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5" w:hRule="atLeast"/>
          <w:jc w:val="center"/>
        </w:trPr>
        <w:tc>
          <w:tcPr>
            <w:tcW w:w="26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单位意见</w:t>
            </w:r>
          </w:p>
        </w:tc>
        <w:tc>
          <w:tcPr>
            <w:tcW w:w="76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ind w:firstLine="4600" w:firstLineChars="2300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  <w:p>
            <w:pPr>
              <w:pStyle w:val="2"/>
              <w:ind w:firstLine="4600" w:firstLineChars="2300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单位公章                                   </w:t>
            </w:r>
          </w:p>
          <w:p>
            <w:pPr>
              <w:pStyle w:val="2"/>
              <w:ind w:firstLine="3600" w:firstLineChars="1800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    </w:t>
            </w:r>
          </w:p>
          <w:p>
            <w:pPr>
              <w:pStyle w:val="2"/>
              <w:ind w:firstLine="4200" w:firstLineChars="2100"/>
              <w:rPr>
                <w:rFonts w:hint="default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年   月   日</w:t>
            </w:r>
          </w:p>
        </w:tc>
      </w:tr>
    </w:tbl>
    <w:p>
      <w:pPr>
        <w:pStyle w:val="2"/>
        <w:rPr>
          <w:rFonts w:hint="eastAsia"/>
        </w:rPr>
        <w:sectPr>
          <w:footerReference r:id="rId3" w:type="default"/>
          <w:pgSz w:w="11906" w:h="16838"/>
          <w:pgMar w:top="1701" w:right="1797" w:bottom="1701" w:left="1797" w:header="851" w:footer="992" w:gutter="0"/>
          <w:pgNumType w:fmt="decimal" w:start="1"/>
          <w:cols w:space="720" w:num="1"/>
          <w:docGrid w:type="lines" w:linePitch="312" w:charSpace="0"/>
        </w:sectPr>
      </w:pPr>
    </w:p>
    <w:p>
      <w:pPr>
        <w:pStyle w:val="2"/>
        <w:jc w:val="center"/>
        <w:rPr>
          <w:rFonts w:hint="eastAsia" w:ascii="黑体" w:hAnsi="黑体" w:eastAsia="黑体" w:cs="黑体"/>
          <w:sz w:val="28"/>
          <w:szCs w:val="32"/>
        </w:rPr>
      </w:pPr>
      <w:r>
        <w:rPr>
          <w:rFonts w:hint="eastAsia" w:ascii="黑体" w:hAnsi="黑体" w:eastAsia="黑体" w:cs="黑体"/>
          <w:sz w:val="28"/>
          <w:szCs w:val="32"/>
        </w:rPr>
        <w:t>会议</w:t>
      </w: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参展资料明细</w:t>
      </w:r>
    </w:p>
    <w:tbl>
      <w:tblPr>
        <w:tblStyle w:val="16"/>
        <w:tblW w:w="5212" w:type="pct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2010"/>
        <w:gridCol w:w="2863"/>
        <w:gridCol w:w="6214"/>
        <w:gridCol w:w="2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参展类别</w:t>
            </w:r>
          </w:p>
        </w:tc>
        <w:tc>
          <w:tcPr>
            <w:tcW w:w="286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4"/>
                <w:szCs w:val="24"/>
                <w:u w:val="none"/>
                <w:lang w:val="en-US" w:eastAsia="zh-CN" w:bidi="ar"/>
              </w:rPr>
              <w:t>资料内容</w:t>
            </w:r>
          </w:p>
        </w:tc>
        <w:tc>
          <w:tcPr>
            <w:tcW w:w="621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规格要求</w:t>
            </w:r>
          </w:p>
        </w:tc>
        <w:tc>
          <w:tcPr>
            <w:tcW w:w="219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截止时间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</w:p>
        </w:tc>
        <w:tc>
          <w:tcPr>
            <w:tcW w:w="20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会议宣传资料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（发邮件）</w:t>
            </w: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会议指南手册 封二、封三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仅2个名额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"/>
              <w:numPr>
                <w:ilvl w:val="0"/>
                <w:numId w:val="1"/>
              </w:numP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需提供单位全称、简介、logo清晰版，以word文档+图片形式提交</w:t>
            </w:r>
          </w:p>
          <w:p>
            <w:pPr>
              <w:pStyle w:val="2"/>
              <w:numPr>
                <w:ilvl w:val="0"/>
                <w:numId w:val="1"/>
              </w:numP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封二或封三宣传页按A4纸大小设计成一页彩页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（1P或2P）</w:t>
            </w:r>
          </w:p>
          <w:p>
            <w:pPr>
              <w:pStyle w:val="2"/>
              <w:numPr>
                <w:ilvl w:val="0"/>
                <w:numId w:val="1"/>
              </w:numP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以上1、2项内容发送至指定邮箱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参会代表名册 插页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不限名额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"/>
              <w:numPr>
                <w:ilvl w:val="0"/>
                <w:numId w:val="2"/>
              </w:numP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需提供单位全称、简介、logo清晰版，以word文档+图片形式提交</w:t>
            </w:r>
          </w:p>
          <w:p>
            <w:pPr>
              <w:pStyle w:val="2"/>
              <w:numPr>
                <w:ilvl w:val="0"/>
                <w:numId w:val="2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插页宣传页按A4纸大小设计成一页彩页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（1P或2P）</w:t>
            </w:r>
          </w:p>
          <w:p>
            <w:pPr>
              <w:pStyle w:val="2"/>
              <w:numPr>
                <w:ilvl w:val="0"/>
                <w:numId w:val="2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以上1、2项内容发送至指定邮箱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现场技术展台</w:t>
            </w: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pacing w:val="-5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5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pStyle w:val="2"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pacing w:val="-5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5"/>
                <w:sz w:val="18"/>
                <w:szCs w:val="18"/>
                <w:lang w:val="en-US" w:eastAsia="zh-CN" w:bidi="ar-SA"/>
              </w:rPr>
              <w:t>1、展位费包括展位搭建费、桌、椅、门楣费用；展览内容需自行设计并带至展位现场，设计及制作费用自行承担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9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</w:t>
            </w:r>
          </w:p>
        </w:tc>
        <w:tc>
          <w:tcPr>
            <w:tcW w:w="20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线上展览传播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auto"/>
                <w:spacing w:val="-5"/>
                <w:kern w:val="0"/>
                <w:sz w:val="21"/>
                <w:szCs w:val="21"/>
                <w:u w:val="none"/>
                <w:lang w:val="en-US" w:eastAsia="zh-CN" w:bidi="ar"/>
              </w:rPr>
              <w:t>（发邮件）</w:t>
            </w: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公司logo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图片格式，建议分辨率大于300dpi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公司简介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word格式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字数不超过300字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公司宣传视频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mp4格式，时长不超过5分钟，大小不超过300M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公司代表图片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1张，用于公司的网上展厅略缩图使用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尺寸比例尽量接近于宽1155像素，高866像素，以防后续处理拉伸变形。图片应较清晰但大小不能超过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M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0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公司宣传图片</w:t>
            </w:r>
          </w:p>
        </w:tc>
        <w:tc>
          <w:tcPr>
            <w:tcW w:w="6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图片内容包括不限于典型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产品、工程案例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、公司企业文化等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3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以图片+文字说明格式提交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。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图片要求：1至5张，应较清晰但大小不能超过3M</w:t>
            </w: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；图片如有文字解释，不宜过长，请将图片以该段文字命名或另附说明。</w:t>
            </w:r>
          </w:p>
        </w:tc>
        <w:tc>
          <w:tcPr>
            <w:tcW w:w="21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pStyle w:val="2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10月</w:t>
            </w:r>
            <w:r>
              <w:rPr>
                <w:rFonts w:hint="eastAsia" w:hAnsi="宋体" w:cs="宋体"/>
                <w:sz w:val="18"/>
                <w:szCs w:val="18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9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pacing w:val="-5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0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18"/>
                <w:szCs w:val="18"/>
                <w:lang w:val="en-US" w:eastAsia="zh-CN"/>
              </w:rPr>
              <w:t>线上展览资料，需打包发送至指定邮箱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备注：（1）参展方式一、三，需发送到指定邮箱地址：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"mailto:chincold@vip.126.com"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20"/>
          <w:rFonts w:hint="eastAsia"/>
          <w:lang w:val="en-US" w:eastAsia="zh-CN"/>
        </w:rPr>
        <w:t>chincold@vip.126.com</w:t>
      </w:r>
      <w:r>
        <w:rPr>
          <w:rFonts w:hint="eastAsia"/>
          <w:lang w:val="en-US" w:eastAsia="zh-CN"/>
        </w:rPr>
        <w:fldChar w:fldCharType="end"/>
      </w: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ind w:firstLine="570" w:firstLineChars="3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（2）发送邮件主题请按“</w:t>
      </w:r>
      <w:r>
        <w:rPr>
          <w:rFonts w:hint="eastAsia"/>
          <w:b/>
          <w:bCs/>
          <w:u w:val="single"/>
          <w:lang w:val="en-US" w:eastAsia="zh-CN"/>
        </w:rPr>
        <w:t>2022年会参展+单位全称+参展方式（一或三）</w:t>
      </w:r>
      <w:r>
        <w:rPr>
          <w:rFonts w:hint="eastAsia"/>
          <w:lang w:val="en-US" w:eastAsia="zh-CN"/>
        </w:rPr>
        <w:t>”发送邮件，感谢您的参与和支持！</w:t>
      </w:r>
    </w:p>
    <w:p>
      <w:pPr>
        <w:pStyle w:val="2"/>
        <w:rPr>
          <w:rFonts w:hint="eastAsia"/>
        </w:rPr>
        <w:sectPr>
          <w:pgSz w:w="16838" w:h="11906" w:orient="landscape"/>
          <w:pgMar w:top="1797" w:right="1701" w:bottom="1797" w:left="1701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pStyle w:val="2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附件2：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                               线下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展区位置及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说明</w:t>
      </w:r>
    </w:p>
    <w:p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-5"/>
          <w:kern w:val="0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280035</wp:posOffset>
            </wp:positionH>
            <wp:positionV relativeFrom="paragraph">
              <wp:posOffset>653415</wp:posOffset>
            </wp:positionV>
            <wp:extent cx="7945755" cy="4953000"/>
            <wp:effectExtent l="25400" t="25400" r="86995" b="88900"/>
            <wp:wrapNone/>
            <wp:docPr id="4" name="图片 4" descr="D:\00.常规\2022.04.21：★★★★★——2022学术年会——★★★★★\00.招展\展板示位置意图_整体-F2.png展板示位置意图_整体-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D:\00.常规\2022.04.21：★★★★★——2022学术年会——★★★★★\00.招展\展板示位置意图_整体-F2.png展板示位置意图_整体-F2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45755" cy="4953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总体情况：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</w:rPr>
        <w:t>会议技术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展厅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位于宴会厅1厅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（宴会厅2、3厅为大会会场和第二天分会会场）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展厅整体展位共计24个，按照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0"/>
          <w:sz w:val="24"/>
          <w:szCs w:val="24"/>
          <w:highlight w:val="none"/>
          <w:lang w:val="en-US" w:eastAsia="zh-CN" w:bidi="ar"/>
        </w:rPr>
        <w:t>参展单位先交费先选择原则</w:t>
      </w:r>
      <w:r>
        <w:rPr>
          <w:rFonts w:hint="eastAsia" w:ascii="宋体" w:hAnsi="宋体" w:cs="宋体"/>
          <w:b w:val="0"/>
          <w:bCs w:val="0"/>
          <w:color w:val="auto"/>
          <w:spacing w:val="-5"/>
          <w:kern w:val="0"/>
          <w:sz w:val="24"/>
          <w:szCs w:val="24"/>
          <w:highlight w:val="none"/>
          <w:lang w:val="en-US" w:eastAsia="zh-CN" w:bidi="ar"/>
        </w:rPr>
        <w:t>确定展位</w:t>
      </w:r>
      <w:r>
        <w:rPr>
          <w:rFonts w:hint="eastAsia" w:ascii="宋体" w:hAnsi="宋体" w:eastAsia="宋体" w:cs="宋体"/>
          <w:b w:val="0"/>
          <w:bCs w:val="0"/>
          <w:color w:val="auto"/>
          <w:spacing w:val="-5"/>
          <w:kern w:val="0"/>
          <w:sz w:val="21"/>
          <w:szCs w:val="21"/>
          <w:highlight w:val="none"/>
          <w:lang w:val="en-US" w:eastAsia="zh-CN" w:bidi="ar"/>
        </w:rPr>
        <w:t>。</w:t>
      </w: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rPr>
          <w:rFonts w:hint="eastAsia" w:asciiTheme="minorEastAsia" w:hAnsiTheme="minorEastAsia" w:eastAsiaTheme="minorEastAsia"/>
          <w:sz w:val="28"/>
          <w:szCs w:val="28"/>
        </w:rPr>
      </w:pPr>
    </w:p>
    <w:p>
      <w:pPr>
        <w:pStyle w:val="2"/>
        <w:ind w:firstLine="10260" w:firstLineChars="3800"/>
        <w:rPr>
          <w:rFonts w:hint="eastAsia" w:asciiTheme="minorEastAsia" w:hAnsiTheme="minorEastAsia" w:eastAsiaTheme="minorEastAsia"/>
          <w:sz w:val="28"/>
          <w:szCs w:val="28"/>
          <w:highlight w:val="yellow"/>
          <w:lang w:val="en-US" w:eastAsia="zh-CN"/>
        </w:rPr>
      </w:pPr>
    </w:p>
    <w:p>
      <w:pPr>
        <w:pStyle w:val="2"/>
        <w:ind w:firstLine="9450" w:firstLineChars="3500"/>
        <w:rPr>
          <w:rFonts w:hint="eastAsia" w:asciiTheme="minorEastAsia" w:hAnsiTheme="minorEastAsia" w:eastAsiaTheme="minorEastAsia"/>
          <w:sz w:val="28"/>
          <w:szCs w:val="28"/>
          <w:highlight w:val="yellow"/>
          <w:lang w:val="en-US" w:eastAsia="zh-CN"/>
        </w:rPr>
      </w:pPr>
    </w:p>
    <w:p>
      <w:pPr>
        <w:pStyle w:val="2"/>
        <w:ind w:firstLine="9450" w:firstLineChars="3500"/>
        <w:rPr>
          <w:rFonts w:hint="eastAsia" w:asciiTheme="minorEastAsia" w:hAnsiTheme="minorEastAsia" w:eastAsiaTheme="minorEastAsia"/>
          <w:sz w:val="28"/>
          <w:szCs w:val="28"/>
          <w:highlight w:val="yellow"/>
          <w:lang w:val="en-US" w:eastAsia="zh-CN"/>
        </w:rPr>
      </w:pPr>
    </w:p>
    <w:p>
      <w:pPr>
        <w:pStyle w:val="2"/>
        <w:ind w:firstLine="9180" w:firstLineChars="3400"/>
        <w:rPr>
          <w:rFonts w:hint="eastAsia" w:asciiTheme="minorEastAsia" w:hAnsiTheme="minorEastAsia" w:eastAsiaTheme="minorEastAsia"/>
          <w:sz w:val="28"/>
          <w:szCs w:val="28"/>
          <w:highlight w:val="yellow"/>
          <w:lang w:val="en-US" w:eastAsia="zh-CN"/>
        </w:rPr>
      </w:pPr>
    </w:p>
    <w:p>
      <w:pPr>
        <w:pStyle w:val="2"/>
        <w:ind w:firstLine="9180" w:firstLineChars="3400"/>
        <w:rPr>
          <w:rFonts w:hint="eastAsia" w:asciiTheme="minorEastAsia" w:hAnsiTheme="minorEastAsia" w:eastAsiaTheme="minorEastAsia"/>
          <w:sz w:val="28"/>
          <w:szCs w:val="28"/>
          <w:highlight w:val="yellow"/>
          <w:lang w:val="en-US" w:eastAsia="zh-CN"/>
        </w:rPr>
      </w:pPr>
    </w:p>
    <w:p>
      <w:pPr>
        <w:pStyle w:val="2"/>
        <w:ind w:firstLine="9180" w:firstLineChars="3400"/>
        <w:rPr>
          <w:rFonts w:hint="eastAsia" w:asciiTheme="minorEastAsia" w:hAnsiTheme="minorEastAsia" w:eastAsiaTheme="minorEastAsia"/>
          <w:sz w:val="28"/>
          <w:szCs w:val="28"/>
          <w:highlight w:val="yellow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2" w:firstLineChars="200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厅内展位编号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17780</wp:posOffset>
            </wp:positionH>
            <wp:positionV relativeFrom="paragraph">
              <wp:posOffset>230505</wp:posOffset>
            </wp:positionV>
            <wp:extent cx="8409305" cy="4531995"/>
            <wp:effectExtent l="25400" t="25400" r="80645" b="90805"/>
            <wp:wrapNone/>
            <wp:docPr id="6" name="图片 6" descr="D:\00.常规\2022.04.21：★★★★★——2022学术年会——★★★★★\00.招展\展板示位置意图_局部-F2.png展板示位置意图_局部-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:\00.常规\2022.04.21：★★★★★——2022学术年会——★★★★★\00.招展\展板示位置意图_局部-F2.png展板示位置意图_局部-F2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09305" cy="45319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62" w:firstLineChars="200"/>
        <w:jc w:val="left"/>
        <w:textAlignment w:val="auto"/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展台效果示意图</w:t>
      </w: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560070</wp:posOffset>
            </wp:positionH>
            <wp:positionV relativeFrom="paragraph">
              <wp:posOffset>4445</wp:posOffset>
            </wp:positionV>
            <wp:extent cx="7505065" cy="4220845"/>
            <wp:effectExtent l="25400" t="25400" r="89535" b="97155"/>
            <wp:wrapNone/>
            <wp:docPr id="7" name="图片 7" descr="D:\00.常规\2022.04.21：★★★★★——2022学术年会——★★★★★\00.招展\展台实物图.jpg展台实物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:\00.常规\2022.04.21：★★★★★——2022学术年会——★★★★★\00.招展\展台实物图.jpg展台实物图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05065" cy="42208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numPr>
          <w:ilvl w:val="0"/>
          <w:numId w:val="0"/>
        </w:numPr>
        <w:rPr>
          <w:rFonts w:hint="eastAsia"/>
        </w:rPr>
      </w:pPr>
    </w:p>
    <w:p>
      <w:pPr>
        <w:pStyle w:val="2"/>
        <w:jc w:val="center"/>
        <w:rPr>
          <w:rFonts w:hint="eastAsia" w:hAnsi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 xml:space="preserve">                                                                               </w:t>
      </w:r>
    </w:p>
    <w:p>
      <w:pPr>
        <w:pStyle w:val="2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  <w:sectPr>
          <w:pgSz w:w="16838" w:h="11906" w:orient="landscape"/>
          <w:pgMar w:top="1797" w:right="1701" w:bottom="1797" w:left="1701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>（ 3×3m标准展台）</w:t>
      </w:r>
    </w:p>
    <w:p>
      <w:pPr>
        <w:autoSpaceDE w:val="0"/>
        <w:autoSpaceDN w:val="0"/>
        <w:adjustRightInd w:val="0"/>
        <w:spacing w:line="360" w:lineRule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3：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eastAsia" w:cs="华文中宋" w:asciiTheme="minorEastAsia" w:hAnsiTheme="minorEastAsia" w:eastAsiaTheme="minorEastAsia"/>
          <w:b/>
          <w:sz w:val="28"/>
          <w:szCs w:val="28"/>
          <w:lang w:val="en-US" w:eastAsia="zh-CN"/>
        </w:rPr>
        <w:t>线上展厅效果图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560070</wp:posOffset>
            </wp:positionH>
            <wp:positionV relativeFrom="paragraph">
              <wp:posOffset>151130</wp:posOffset>
            </wp:positionV>
            <wp:extent cx="4466590" cy="2353945"/>
            <wp:effectExtent l="25400" t="25400" r="80010" b="97155"/>
            <wp:wrapNone/>
            <wp:docPr id="8" name="图片 8" descr="D:\00.常规\2022.04.21：★★★★★——2022学术年会——★★★★★\00.宣传制作\02.参展相关\展厅首页-直播页面.png展厅首页-直播页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D:\00.常规\2022.04.21：★★★★★——2022学术年会——★★★★★\00.宣传制作\02.参展相关\展厅首页-直播页面.png展厅首页-直播页面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6590" cy="23539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</w:pPr>
      <w:r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547370</wp:posOffset>
            </wp:positionH>
            <wp:positionV relativeFrom="paragraph">
              <wp:posOffset>2274570</wp:posOffset>
            </wp:positionV>
            <wp:extent cx="4515485" cy="2441575"/>
            <wp:effectExtent l="25400" t="25400" r="88265" b="85725"/>
            <wp:wrapNone/>
            <wp:docPr id="9" name="图片 9" descr="D:\00.常规\2022.04.21：★★★★★——2022学术年会——★★★★★\00.宣传制作\02.参展相关\展位咨询2.png展位咨询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D:\00.常规\2022.04.21：★★★★★——2022学术年会——★★★★★\00.宣传制作\02.参展相关\展位咨询2.png展位咨询2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15485" cy="24415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hint="default" w:asciiTheme="minorEastAsia" w:hAnsiTheme="minorEastAsia" w:eastAsiaTheme="minorEastAsia"/>
          <w:sz w:val="28"/>
          <w:szCs w:val="28"/>
          <w:lang w:val="en-US"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555625</wp:posOffset>
            </wp:positionH>
            <wp:positionV relativeFrom="paragraph">
              <wp:posOffset>4846320</wp:posOffset>
            </wp:positionV>
            <wp:extent cx="4468495" cy="2354580"/>
            <wp:effectExtent l="25400" t="25400" r="97155" b="96520"/>
            <wp:wrapNone/>
            <wp:docPr id="11" name="图片 11" descr="展厅首页-展厅图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展厅首页-展厅图片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68495" cy="235458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</w:pPr>
    </w:p>
    <w:p>
      <w:pPr>
        <w:autoSpaceDE w:val="0"/>
        <w:autoSpaceDN w:val="0"/>
        <w:adjustRightInd w:val="0"/>
        <w:spacing w:line="360" w:lineRule="auto"/>
        <w:rPr>
          <w:rFonts w:hint="eastAsia" w:ascii="黑体" w:hAnsi="黑体" w:eastAsia="黑体" w:cs="黑体"/>
          <w:sz w:val="28"/>
          <w:szCs w:val="28"/>
        </w:rPr>
        <w:sectPr>
          <w:pgSz w:w="11906" w:h="16838"/>
          <w:pgMar w:top="1701" w:right="1797" w:bottom="1701" w:left="1797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autoSpaceDE w:val="0"/>
        <w:autoSpaceDN w:val="0"/>
        <w:adjustRightInd w:val="0"/>
        <w:spacing w:line="360" w:lineRule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4：</w:t>
      </w:r>
    </w:p>
    <w:p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eastAsia" w:cs="华文中宋" w:asciiTheme="minorEastAsia" w:hAnsiTheme="minorEastAsia" w:eastAsiaTheme="minorEastAsia"/>
          <w:b/>
          <w:sz w:val="28"/>
          <w:szCs w:val="28"/>
          <w:lang w:val="en-US" w:eastAsia="zh-CN"/>
        </w:rPr>
      </w:pPr>
      <w:r>
        <w:rPr>
          <w:rFonts w:hint="eastAsia" w:cs="华文中宋" w:asciiTheme="minorEastAsia" w:hAnsiTheme="minorEastAsia" w:eastAsiaTheme="minorEastAsia"/>
          <w:b/>
          <w:sz w:val="28"/>
          <w:szCs w:val="28"/>
          <w:lang w:val="en-US" w:eastAsia="zh-CN"/>
        </w:rPr>
        <w:t>单位简介模板</w:t>
      </w:r>
    </w:p>
    <w:p>
      <w:pPr>
        <w:pStyle w:val="4"/>
        <w:widowControl/>
        <w:spacing w:beforeAutospacing="0" w:afterAutospacing="0" w:line="630" w:lineRule="atLeast"/>
        <w:textAlignment w:val="baseline"/>
        <w:rPr>
          <w:rFonts w:hint="eastAsia" w:ascii="微软雅黑" w:hAnsi="微软雅黑" w:eastAsia="微软雅黑" w:cs="微软雅黑"/>
          <w:bCs/>
          <w:color w:val="000000"/>
          <w:spacing w:val="0"/>
          <w:sz w:val="28"/>
          <w:szCs w:val="28"/>
          <w:lang w:val="en-US" w:eastAsia="zh-CN" w:bidi="ar"/>
        </w:rPr>
      </w:pPr>
      <w:r>
        <w:rPr>
          <w:rFonts w:hint="eastAsia" w:ascii="微软雅黑" w:hAnsi="微软雅黑" w:eastAsia="微软雅黑" w:cs="微软雅黑"/>
          <w:bCs/>
          <w:color w:val="000000"/>
          <w:spacing w:val="0"/>
          <w:sz w:val="28"/>
          <w:szCs w:val="28"/>
          <w:lang w:val="en-US" w:eastAsia="zh-CN" w:bidi="ar"/>
        </w:rPr>
        <w:t>中国大坝工程学会</w:t>
      </w:r>
    </w:p>
    <w:p>
      <w:pPr>
        <w:autoSpaceDE w:val="0"/>
        <w:autoSpaceDN w:val="0"/>
        <w:adjustRightInd w:val="0"/>
        <w:spacing w:line="360" w:lineRule="auto"/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highlight w:val="none"/>
          <w:lang w:bidi="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12700</wp:posOffset>
                </wp:positionV>
                <wp:extent cx="5441315" cy="12065"/>
                <wp:effectExtent l="0" t="4445" r="6985" b="1206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41315" cy="1206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.2pt;margin-top:1pt;height:0.95pt;width:428.45pt;z-index:251661312;mso-width-relative:page;mso-height-relative:page;" filled="f" stroked="t" coordsize="21600,21600" o:gfxdata="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08ifvVAAAABAEAAA8AAAAAAAAAAQAgAAAAIgAAAGRycy9kb3ducmV2&#10;LnhtbFBLAQIUABQAAAAIAIdO4kAtkATL/wEAAOEDAAAOAAAAAAAAAAEAIAAAACQBAABkcnMvZTJv&#10;RG9jLnhtbFBLBQYAAAAABgAGAFkBAACVBQAAAAA=&#10;">
                <v:fill on="f" focussize="0,0"/>
                <v:stroke color="#4A7EBB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Theme="minorEastAsia" w:hAnsiTheme="minorEastAsia" w:eastAsiaTheme="minorEastAsia"/>
          <w:b/>
          <w:bCs/>
          <w:sz w:val="24"/>
          <w:szCs w:val="24"/>
          <w:highlight w:val="none"/>
          <w:lang w:val="en-US" w:eastAsia="zh-CN"/>
        </w:rPr>
        <w:t>中国大坝工程学会</w:t>
      </w:r>
      <w:r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  <w:t>成立于1974年，前身是中国大坝委员会，代表中国参与国际大坝委员会活动；学会是经民政部批准的国家一级学术性社团、被评为4A级全国性社会团体，是中国科学技术协会团体会员，也是国家科学技术奖的提名单位。先后获得中国科协“世界一流学会建设”项目专项支持、成为“青年人才托举工程”承担单位。同时，学会依托水库大坝云平台成立了工程医院水库大坝国际分院。</w:t>
      </w:r>
    </w:p>
    <w:p>
      <w:pPr>
        <w:autoSpaceDE w:val="0"/>
        <w:autoSpaceDN w:val="0"/>
        <w:adjustRightInd w:val="0"/>
        <w:spacing w:line="360" w:lineRule="auto"/>
        <w:ind w:firstLine="460" w:firstLineChars="200"/>
        <w:rPr>
          <w:rFonts w:hint="default" w:cs="Times New Roman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highlight w:val="none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4300855</wp:posOffset>
            </wp:positionH>
            <wp:positionV relativeFrom="paragraph">
              <wp:posOffset>1540510</wp:posOffset>
            </wp:positionV>
            <wp:extent cx="845820" cy="845820"/>
            <wp:effectExtent l="0" t="0" r="11430" b="11430"/>
            <wp:wrapNone/>
            <wp:docPr id="3" name="图片 3" descr="970489461a64b6855e3f42712e6cc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70489461a64b6855e3f42712e6cc4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45820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cs="Times New Roman" w:asciiTheme="minorEastAsia" w:hAnsiTheme="minorEastAsia" w:eastAsiaTheme="minorEastAsia"/>
          <w:sz w:val="24"/>
          <w:szCs w:val="24"/>
          <w:lang w:val="en-US" w:eastAsia="zh-CN"/>
        </w:rPr>
        <w:t>学会的业务主管单位是水利部，秘书处设在中国水利水电科学研究院。作为中国坝工技术领域的国际活动窗口和国内交流合作平台，学会围绕开放型、枢纽型、平台型“三型”组织建设，强化服务政府、服务行业、服务会员、服务科技工作者“四服务”职能，持续打造学术交流平台、科技创新和人才举荐平台、国际合作平台、技术支撑服务平台、科普宣传平台等“五大”平台，形成了“专业性、国际性、多元性”的学会发展特色。</w:t>
      </w:r>
    </w:p>
    <w:p>
      <w:pPr>
        <w:autoSpaceDE w:val="0"/>
        <w:autoSpaceDN w:val="0"/>
        <w:adjustRightInd w:val="0"/>
        <w:spacing w:line="360" w:lineRule="auto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b w:val="0"/>
          <w:bCs w:val="0"/>
          <w:sz w:val="24"/>
          <w:szCs w:val="24"/>
          <w:lang w:val="en-US" w:eastAsia="zh-CN"/>
        </w:rPr>
        <w:t>办公地址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：北京市海淀区玉渊潭南路一号A座1266</w:t>
      </w:r>
    </w:p>
    <w:p>
      <w:pPr>
        <w:autoSpaceDE w:val="0"/>
        <w:autoSpaceDN w:val="0"/>
        <w:adjustRightInd w:val="0"/>
        <w:spacing w:line="360" w:lineRule="auto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电话：010-68781688              传真：010-68712208</w:t>
      </w:r>
    </w:p>
    <w:p>
      <w:pPr>
        <w:autoSpaceDE w:val="0"/>
        <w:autoSpaceDN w:val="0"/>
        <w:adjustRightInd w:val="0"/>
        <w:spacing w:line="360" w:lineRule="auto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电子邮件：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instrText xml:space="preserve"> HYPERLINK "mailto:chincold@vip.126.com" </w:instrTex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fldChar w:fldCharType="separate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chincold@vip.126.com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fldChar w:fldCharType="end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 xml:space="preserve">  网址：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fldChar w:fldCharType="begin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instrText xml:space="preserve"> HYPERLINK "http://www.chincold.org.cn/chincold/xhjj/webinfo/2010/08/1280908318857959.htm" </w:instrTex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fldChar w:fldCharType="separate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www.chincold.org.cn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fldChar w:fldCharType="end"/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 xml:space="preserve">  水库大坝云平台</w:t>
      </w:r>
    </w:p>
    <w:p>
      <w:pPr>
        <w:autoSpaceDE w:val="0"/>
        <w:autoSpaceDN w:val="0"/>
        <w:adjustRightInd w:val="0"/>
        <w:spacing w:line="360" w:lineRule="auto"/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</w:pPr>
    </w:p>
    <w:p>
      <w:pPr>
        <w:autoSpaceDE w:val="0"/>
        <w:autoSpaceDN w:val="0"/>
        <w:adjustRightInd w:val="0"/>
        <w:spacing w:line="360" w:lineRule="auto"/>
        <w:rPr>
          <w:rFonts w:hint="default" w:asciiTheme="minorEastAsia" w:hAnsiTheme="minorEastAsia" w:eastAsia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注：简介文字控制在350字左右。</w:t>
      </w:r>
    </w:p>
    <w:sectPr>
      <w:pgSz w:w="11906" w:h="16838"/>
      <w:pgMar w:top="1701" w:right="1797" w:bottom="1701" w:left="179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Bahnschrift 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Bahnschrift">
    <w:panose1 w:val="020B0502040204020203"/>
    <w:charset w:val="00"/>
    <w:family w:val="auto"/>
    <w:pitch w:val="default"/>
    <w:sig w:usb0="A00002C7" w:usb1="00000002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-201930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2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5.9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GC2rIzZAAAADAEAAA8AAAAAAAAAAQAgAAAAIgAAAGRycy9kb3ducmV2Lnht&#10;bFBLAQIUABQAAAAIAIdO4kAkgka0MQIAAGEEAAAOAAAAAAAAAAEAIAAAACg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C0397E"/>
    <w:multiLevelType w:val="singleLevel"/>
    <w:tmpl w:val="95C0397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F149840"/>
    <w:multiLevelType w:val="singleLevel"/>
    <w:tmpl w:val="CF149840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82C1B1F"/>
    <w:multiLevelType w:val="singleLevel"/>
    <w:tmpl w:val="F82C1B1F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C4059D7"/>
    <w:multiLevelType w:val="singleLevel"/>
    <w:tmpl w:val="0C4059D7"/>
    <w:lvl w:ilvl="0" w:tentative="0">
      <w:start w:val="2"/>
      <w:numFmt w:val="decimal"/>
      <w:suff w:val="nothing"/>
      <w:lvlText w:val="（%1）"/>
      <w:lvlJc w:val="left"/>
    </w:lvl>
  </w:abstractNum>
  <w:abstractNum w:abstractNumId="4">
    <w:nsid w:val="6B378387"/>
    <w:multiLevelType w:val="singleLevel"/>
    <w:tmpl w:val="6B378387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9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yZWY2YWQwZDI1ZDY2ZTRhYzQzNDQ1NWE3YzhiZTIifQ=="/>
  </w:docVars>
  <w:rsids>
    <w:rsidRoot w:val="003C6A1A"/>
    <w:rsid w:val="00003754"/>
    <w:rsid w:val="000045CD"/>
    <w:rsid w:val="00004D96"/>
    <w:rsid w:val="00006FAD"/>
    <w:rsid w:val="000129E8"/>
    <w:rsid w:val="0001406D"/>
    <w:rsid w:val="0001484C"/>
    <w:rsid w:val="00015781"/>
    <w:rsid w:val="00015921"/>
    <w:rsid w:val="00015A48"/>
    <w:rsid w:val="00015CBD"/>
    <w:rsid w:val="0002014D"/>
    <w:rsid w:val="0002047B"/>
    <w:rsid w:val="000216DE"/>
    <w:rsid w:val="000319F4"/>
    <w:rsid w:val="00035963"/>
    <w:rsid w:val="00051E45"/>
    <w:rsid w:val="000530F3"/>
    <w:rsid w:val="00054212"/>
    <w:rsid w:val="00057F01"/>
    <w:rsid w:val="00060EEA"/>
    <w:rsid w:val="00062E37"/>
    <w:rsid w:val="000661CA"/>
    <w:rsid w:val="00067ACE"/>
    <w:rsid w:val="00070D68"/>
    <w:rsid w:val="00072D70"/>
    <w:rsid w:val="000740BC"/>
    <w:rsid w:val="00075C10"/>
    <w:rsid w:val="00084ACE"/>
    <w:rsid w:val="00084F2A"/>
    <w:rsid w:val="00095B9D"/>
    <w:rsid w:val="000A22F4"/>
    <w:rsid w:val="000A3FBD"/>
    <w:rsid w:val="000A5964"/>
    <w:rsid w:val="000A6990"/>
    <w:rsid w:val="000B198F"/>
    <w:rsid w:val="000B2FF7"/>
    <w:rsid w:val="000B51ED"/>
    <w:rsid w:val="000C1DCD"/>
    <w:rsid w:val="000C34DB"/>
    <w:rsid w:val="000C41AA"/>
    <w:rsid w:val="000C50B8"/>
    <w:rsid w:val="000C52CB"/>
    <w:rsid w:val="000C6C77"/>
    <w:rsid w:val="000D0208"/>
    <w:rsid w:val="000D203B"/>
    <w:rsid w:val="000D22F4"/>
    <w:rsid w:val="000E45F0"/>
    <w:rsid w:val="000E621C"/>
    <w:rsid w:val="000E6B94"/>
    <w:rsid w:val="000F356D"/>
    <w:rsid w:val="000F3D96"/>
    <w:rsid w:val="000F5FA0"/>
    <w:rsid w:val="000F65DE"/>
    <w:rsid w:val="000F72EE"/>
    <w:rsid w:val="001001FE"/>
    <w:rsid w:val="001008E7"/>
    <w:rsid w:val="00101C05"/>
    <w:rsid w:val="00102653"/>
    <w:rsid w:val="00105599"/>
    <w:rsid w:val="00106464"/>
    <w:rsid w:val="001067E8"/>
    <w:rsid w:val="001075AD"/>
    <w:rsid w:val="00107904"/>
    <w:rsid w:val="00110584"/>
    <w:rsid w:val="00111D63"/>
    <w:rsid w:val="0011256B"/>
    <w:rsid w:val="00116217"/>
    <w:rsid w:val="00116B09"/>
    <w:rsid w:val="0012193C"/>
    <w:rsid w:val="00126BA1"/>
    <w:rsid w:val="00132BBB"/>
    <w:rsid w:val="001369A6"/>
    <w:rsid w:val="00136E5C"/>
    <w:rsid w:val="00140E23"/>
    <w:rsid w:val="001440AE"/>
    <w:rsid w:val="001506EF"/>
    <w:rsid w:val="00157A0B"/>
    <w:rsid w:val="00157B81"/>
    <w:rsid w:val="0016068E"/>
    <w:rsid w:val="00170D0B"/>
    <w:rsid w:val="0017460B"/>
    <w:rsid w:val="00176772"/>
    <w:rsid w:val="00176823"/>
    <w:rsid w:val="00182AA4"/>
    <w:rsid w:val="00186556"/>
    <w:rsid w:val="001934E5"/>
    <w:rsid w:val="0019716E"/>
    <w:rsid w:val="00197654"/>
    <w:rsid w:val="001A0FA6"/>
    <w:rsid w:val="001A1826"/>
    <w:rsid w:val="001A1A76"/>
    <w:rsid w:val="001A6274"/>
    <w:rsid w:val="001A6B38"/>
    <w:rsid w:val="001B355C"/>
    <w:rsid w:val="001B3ABD"/>
    <w:rsid w:val="001B6711"/>
    <w:rsid w:val="001C52A6"/>
    <w:rsid w:val="001D3832"/>
    <w:rsid w:val="001D4023"/>
    <w:rsid w:val="001E1A37"/>
    <w:rsid w:val="001E276B"/>
    <w:rsid w:val="001E58D1"/>
    <w:rsid w:val="001F74B7"/>
    <w:rsid w:val="002040D8"/>
    <w:rsid w:val="0021589D"/>
    <w:rsid w:val="00216F3B"/>
    <w:rsid w:val="0022154C"/>
    <w:rsid w:val="002250F1"/>
    <w:rsid w:val="0022656E"/>
    <w:rsid w:val="002305A8"/>
    <w:rsid w:val="00232F96"/>
    <w:rsid w:val="00234325"/>
    <w:rsid w:val="00234A43"/>
    <w:rsid w:val="002357E1"/>
    <w:rsid w:val="00235C54"/>
    <w:rsid w:val="0023788A"/>
    <w:rsid w:val="00245CB3"/>
    <w:rsid w:val="0024602D"/>
    <w:rsid w:val="00252F8D"/>
    <w:rsid w:val="00253C23"/>
    <w:rsid w:val="00253DF1"/>
    <w:rsid w:val="0026052F"/>
    <w:rsid w:val="00267BF1"/>
    <w:rsid w:val="00270F02"/>
    <w:rsid w:val="002719EF"/>
    <w:rsid w:val="00272ABD"/>
    <w:rsid w:val="00272D5D"/>
    <w:rsid w:val="00277A05"/>
    <w:rsid w:val="00281A03"/>
    <w:rsid w:val="00285358"/>
    <w:rsid w:val="00286E10"/>
    <w:rsid w:val="00287F6F"/>
    <w:rsid w:val="002A7A8A"/>
    <w:rsid w:val="002A7BFB"/>
    <w:rsid w:val="002B0396"/>
    <w:rsid w:val="002B0447"/>
    <w:rsid w:val="002B57C0"/>
    <w:rsid w:val="002B65A7"/>
    <w:rsid w:val="002C1419"/>
    <w:rsid w:val="002C61F8"/>
    <w:rsid w:val="002D3092"/>
    <w:rsid w:val="002D3719"/>
    <w:rsid w:val="002E11E0"/>
    <w:rsid w:val="002E56E9"/>
    <w:rsid w:val="002E7406"/>
    <w:rsid w:val="002F0A9F"/>
    <w:rsid w:val="002F4735"/>
    <w:rsid w:val="002F5419"/>
    <w:rsid w:val="0030059E"/>
    <w:rsid w:val="0030700E"/>
    <w:rsid w:val="003070F4"/>
    <w:rsid w:val="00316144"/>
    <w:rsid w:val="003177B9"/>
    <w:rsid w:val="00324A41"/>
    <w:rsid w:val="003278F6"/>
    <w:rsid w:val="00330633"/>
    <w:rsid w:val="003314D3"/>
    <w:rsid w:val="00336424"/>
    <w:rsid w:val="00336D91"/>
    <w:rsid w:val="00342074"/>
    <w:rsid w:val="003462BA"/>
    <w:rsid w:val="003474A8"/>
    <w:rsid w:val="003517E0"/>
    <w:rsid w:val="00353492"/>
    <w:rsid w:val="003534C7"/>
    <w:rsid w:val="00353F13"/>
    <w:rsid w:val="003571B5"/>
    <w:rsid w:val="00360A40"/>
    <w:rsid w:val="00364865"/>
    <w:rsid w:val="00370977"/>
    <w:rsid w:val="00370B00"/>
    <w:rsid w:val="00382004"/>
    <w:rsid w:val="003834D2"/>
    <w:rsid w:val="0038418D"/>
    <w:rsid w:val="0038469F"/>
    <w:rsid w:val="00387263"/>
    <w:rsid w:val="00395B62"/>
    <w:rsid w:val="00396301"/>
    <w:rsid w:val="00396761"/>
    <w:rsid w:val="003A0895"/>
    <w:rsid w:val="003A0E2B"/>
    <w:rsid w:val="003A4345"/>
    <w:rsid w:val="003A435C"/>
    <w:rsid w:val="003A6A82"/>
    <w:rsid w:val="003B2384"/>
    <w:rsid w:val="003B287C"/>
    <w:rsid w:val="003B601F"/>
    <w:rsid w:val="003B7577"/>
    <w:rsid w:val="003C1464"/>
    <w:rsid w:val="003C3115"/>
    <w:rsid w:val="003C3D18"/>
    <w:rsid w:val="003C5A04"/>
    <w:rsid w:val="003C6626"/>
    <w:rsid w:val="003C69DC"/>
    <w:rsid w:val="003C6A1A"/>
    <w:rsid w:val="003C71B1"/>
    <w:rsid w:val="003D0C74"/>
    <w:rsid w:val="003D2EAE"/>
    <w:rsid w:val="003E0042"/>
    <w:rsid w:val="003E0F20"/>
    <w:rsid w:val="003E2551"/>
    <w:rsid w:val="003E279D"/>
    <w:rsid w:val="003E63D7"/>
    <w:rsid w:val="003F0620"/>
    <w:rsid w:val="003F3F53"/>
    <w:rsid w:val="003F49B3"/>
    <w:rsid w:val="003F6C29"/>
    <w:rsid w:val="004032BC"/>
    <w:rsid w:val="004137AE"/>
    <w:rsid w:val="0041524B"/>
    <w:rsid w:val="0042343B"/>
    <w:rsid w:val="0043087C"/>
    <w:rsid w:val="00431C53"/>
    <w:rsid w:val="00437E5D"/>
    <w:rsid w:val="00440D35"/>
    <w:rsid w:val="00441462"/>
    <w:rsid w:val="00443771"/>
    <w:rsid w:val="00444C59"/>
    <w:rsid w:val="00447444"/>
    <w:rsid w:val="00456D98"/>
    <w:rsid w:val="004609FB"/>
    <w:rsid w:val="004641C5"/>
    <w:rsid w:val="00465B42"/>
    <w:rsid w:val="004703D7"/>
    <w:rsid w:val="00471A77"/>
    <w:rsid w:val="00474208"/>
    <w:rsid w:val="00474679"/>
    <w:rsid w:val="004757EE"/>
    <w:rsid w:val="00483915"/>
    <w:rsid w:val="00484326"/>
    <w:rsid w:val="00486439"/>
    <w:rsid w:val="004866AF"/>
    <w:rsid w:val="004918CC"/>
    <w:rsid w:val="00493A2E"/>
    <w:rsid w:val="0049432A"/>
    <w:rsid w:val="00495389"/>
    <w:rsid w:val="00496497"/>
    <w:rsid w:val="004A1A9B"/>
    <w:rsid w:val="004A1E95"/>
    <w:rsid w:val="004A46C0"/>
    <w:rsid w:val="004A5826"/>
    <w:rsid w:val="004B6CC9"/>
    <w:rsid w:val="004C0358"/>
    <w:rsid w:val="004C1707"/>
    <w:rsid w:val="004C3C48"/>
    <w:rsid w:val="004C7692"/>
    <w:rsid w:val="004D5643"/>
    <w:rsid w:val="004E01D4"/>
    <w:rsid w:val="004E0AEB"/>
    <w:rsid w:val="004E5107"/>
    <w:rsid w:val="004F2B3D"/>
    <w:rsid w:val="004F32A6"/>
    <w:rsid w:val="004F3B83"/>
    <w:rsid w:val="004F3F08"/>
    <w:rsid w:val="00500769"/>
    <w:rsid w:val="00505192"/>
    <w:rsid w:val="005109AD"/>
    <w:rsid w:val="00513D88"/>
    <w:rsid w:val="0051420D"/>
    <w:rsid w:val="00516267"/>
    <w:rsid w:val="00516B4D"/>
    <w:rsid w:val="00516E77"/>
    <w:rsid w:val="005178F1"/>
    <w:rsid w:val="00520182"/>
    <w:rsid w:val="00521CC8"/>
    <w:rsid w:val="00527BF7"/>
    <w:rsid w:val="00534178"/>
    <w:rsid w:val="00534484"/>
    <w:rsid w:val="005356C8"/>
    <w:rsid w:val="00535E2A"/>
    <w:rsid w:val="00536FDC"/>
    <w:rsid w:val="005434DD"/>
    <w:rsid w:val="00543693"/>
    <w:rsid w:val="00547224"/>
    <w:rsid w:val="00547D79"/>
    <w:rsid w:val="005540A3"/>
    <w:rsid w:val="00555AFF"/>
    <w:rsid w:val="00556DDE"/>
    <w:rsid w:val="005636C9"/>
    <w:rsid w:val="00565EDC"/>
    <w:rsid w:val="00566CA3"/>
    <w:rsid w:val="005710C3"/>
    <w:rsid w:val="005756A2"/>
    <w:rsid w:val="00575A6B"/>
    <w:rsid w:val="00575AC4"/>
    <w:rsid w:val="005770C3"/>
    <w:rsid w:val="00580BEE"/>
    <w:rsid w:val="0058344C"/>
    <w:rsid w:val="0058425D"/>
    <w:rsid w:val="005844AD"/>
    <w:rsid w:val="0059143B"/>
    <w:rsid w:val="005915E0"/>
    <w:rsid w:val="00594D28"/>
    <w:rsid w:val="005962BE"/>
    <w:rsid w:val="005A247A"/>
    <w:rsid w:val="005A429A"/>
    <w:rsid w:val="005A4E8F"/>
    <w:rsid w:val="005A7D8A"/>
    <w:rsid w:val="005B14D5"/>
    <w:rsid w:val="005B21E5"/>
    <w:rsid w:val="005B2C5F"/>
    <w:rsid w:val="005B3081"/>
    <w:rsid w:val="005B31F2"/>
    <w:rsid w:val="005B4169"/>
    <w:rsid w:val="005C4E6C"/>
    <w:rsid w:val="005C6DDE"/>
    <w:rsid w:val="005C7523"/>
    <w:rsid w:val="005D5056"/>
    <w:rsid w:val="005D581B"/>
    <w:rsid w:val="005D62A4"/>
    <w:rsid w:val="005E476D"/>
    <w:rsid w:val="005E4863"/>
    <w:rsid w:val="005E6F09"/>
    <w:rsid w:val="005F0823"/>
    <w:rsid w:val="005F19DD"/>
    <w:rsid w:val="005F3062"/>
    <w:rsid w:val="005F73C9"/>
    <w:rsid w:val="00601CEF"/>
    <w:rsid w:val="00605A9E"/>
    <w:rsid w:val="00606C98"/>
    <w:rsid w:val="00610DBC"/>
    <w:rsid w:val="00612945"/>
    <w:rsid w:val="00620E18"/>
    <w:rsid w:val="00622CFA"/>
    <w:rsid w:val="00627D0C"/>
    <w:rsid w:val="00632076"/>
    <w:rsid w:val="006323DC"/>
    <w:rsid w:val="00633BDE"/>
    <w:rsid w:val="006508A7"/>
    <w:rsid w:val="00651E20"/>
    <w:rsid w:val="0065270B"/>
    <w:rsid w:val="0065628A"/>
    <w:rsid w:val="00662E53"/>
    <w:rsid w:val="00667930"/>
    <w:rsid w:val="006723E2"/>
    <w:rsid w:val="006734F8"/>
    <w:rsid w:val="006737F1"/>
    <w:rsid w:val="00673ED1"/>
    <w:rsid w:val="00674B69"/>
    <w:rsid w:val="006755AB"/>
    <w:rsid w:val="00676FF6"/>
    <w:rsid w:val="00685CB1"/>
    <w:rsid w:val="006902F6"/>
    <w:rsid w:val="006919F6"/>
    <w:rsid w:val="00691F7C"/>
    <w:rsid w:val="00693824"/>
    <w:rsid w:val="006939D2"/>
    <w:rsid w:val="006940FB"/>
    <w:rsid w:val="006955B4"/>
    <w:rsid w:val="006A1F48"/>
    <w:rsid w:val="006A265C"/>
    <w:rsid w:val="006A3038"/>
    <w:rsid w:val="006A5840"/>
    <w:rsid w:val="006A5C0B"/>
    <w:rsid w:val="006A7224"/>
    <w:rsid w:val="006B07EF"/>
    <w:rsid w:val="006B75F9"/>
    <w:rsid w:val="006B7C47"/>
    <w:rsid w:val="006C289C"/>
    <w:rsid w:val="006C420B"/>
    <w:rsid w:val="006D0BAF"/>
    <w:rsid w:val="006E08E6"/>
    <w:rsid w:val="006E129C"/>
    <w:rsid w:val="006E253A"/>
    <w:rsid w:val="006E651E"/>
    <w:rsid w:val="006E6B14"/>
    <w:rsid w:val="006F5739"/>
    <w:rsid w:val="006F6FC1"/>
    <w:rsid w:val="007009D7"/>
    <w:rsid w:val="0070109D"/>
    <w:rsid w:val="007017B7"/>
    <w:rsid w:val="00710278"/>
    <w:rsid w:val="00710A61"/>
    <w:rsid w:val="007114C9"/>
    <w:rsid w:val="0071181D"/>
    <w:rsid w:val="00712846"/>
    <w:rsid w:val="00713BDD"/>
    <w:rsid w:val="00713C87"/>
    <w:rsid w:val="00714905"/>
    <w:rsid w:val="0072105A"/>
    <w:rsid w:val="00721F0F"/>
    <w:rsid w:val="00722450"/>
    <w:rsid w:val="00724695"/>
    <w:rsid w:val="007311C0"/>
    <w:rsid w:val="00732948"/>
    <w:rsid w:val="00732D1C"/>
    <w:rsid w:val="00736DA0"/>
    <w:rsid w:val="00737D6A"/>
    <w:rsid w:val="0074371D"/>
    <w:rsid w:val="00744B6E"/>
    <w:rsid w:val="00747640"/>
    <w:rsid w:val="007504A0"/>
    <w:rsid w:val="00751F87"/>
    <w:rsid w:val="00756FBA"/>
    <w:rsid w:val="00760D3A"/>
    <w:rsid w:val="00764DCB"/>
    <w:rsid w:val="00770C20"/>
    <w:rsid w:val="007712CE"/>
    <w:rsid w:val="00771DA1"/>
    <w:rsid w:val="00772FB9"/>
    <w:rsid w:val="00773892"/>
    <w:rsid w:val="00790A5B"/>
    <w:rsid w:val="00791553"/>
    <w:rsid w:val="00791629"/>
    <w:rsid w:val="0079529F"/>
    <w:rsid w:val="00795E07"/>
    <w:rsid w:val="007972AB"/>
    <w:rsid w:val="007A0504"/>
    <w:rsid w:val="007A4122"/>
    <w:rsid w:val="007A648C"/>
    <w:rsid w:val="007B1DEC"/>
    <w:rsid w:val="007B26C8"/>
    <w:rsid w:val="007C1301"/>
    <w:rsid w:val="007C1D31"/>
    <w:rsid w:val="007C2B0F"/>
    <w:rsid w:val="007C4888"/>
    <w:rsid w:val="007C5035"/>
    <w:rsid w:val="007D076F"/>
    <w:rsid w:val="007D207B"/>
    <w:rsid w:val="007D429E"/>
    <w:rsid w:val="007D61D7"/>
    <w:rsid w:val="007D6F9D"/>
    <w:rsid w:val="007D7617"/>
    <w:rsid w:val="007E225B"/>
    <w:rsid w:val="007F043C"/>
    <w:rsid w:val="007F25CD"/>
    <w:rsid w:val="008011CD"/>
    <w:rsid w:val="0080144A"/>
    <w:rsid w:val="00802D05"/>
    <w:rsid w:val="00806D8F"/>
    <w:rsid w:val="00814BFD"/>
    <w:rsid w:val="00820469"/>
    <w:rsid w:val="00821C8A"/>
    <w:rsid w:val="00824C25"/>
    <w:rsid w:val="008270C3"/>
    <w:rsid w:val="00847A70"/>
    <w:rsid w:val="008504E2"/>
    <w:rsid w:val="00850E24"/>
    <w:rsid w:val="00854087"/>
    <w:rsid w:val="00863B76"/>
    <w:rsid w:val="00867BDA"/>
    <w:rsid w:val="00867F99"/>
    <w:rsid w:val="00870994"/>
    <w:rsid w:val="00871E8C"/>
    <w:rsid w:val="00877FF9"/>
    <w:rsid w:val="00883730"/>
    <w:rsid w:val="00883AD6"/>
    <w:rsid w:val="00884332"/>
    <w:rsid w:val="00887E8A"/>
    <w:rsid w:val="00894846"/>
    <w:rsid w:val="008A164A"/>
    <w:rsid w:val="008A1C91"/>
    <w:rsid w:val="008A61C9"/>
    <w:rsid w:val="008B1282"/>
    <w:rsid w:val="008B2582"/>
    <w:rsid w:val="008B304C"/>
    <w:rsid w:val="008B5236"/>
    <w:rsid w:val="008B7440"/>
    <w:rsid w:val="008C0651"/>
    <w:rsid w:val="008C16BD"/>
    <w:rsid w:val="008C43B6"/>
    <w:rsid w:val="008C4FFE"/>
    <w:rsid w:val="008C6911"/>
    <w:rsid w:val="008C6C8E"/>
    <w:rsid w:val="008C6CA9"/>
    <w:rsid w:val="008D11F4"/>
    <w:rsid w:val="008D1952"/>
    <w:rsid w:val="008E336C"/>
    <w:rsid w:val="008E5241"/>
    <w:rsid w:val="008E7C09"/>
    <w:rsid w:val="00900735"/>
    <w:rsid w:val="009053B7"/>
    <w:rsid w:val="0090702C"/>
    <w:rsid w:val="00916977"/>
    <w:rsid w:val="00923819"/>
    <w:rsid w:val="00927509"/>
    <w:rsid w:val="00927A59"/>
    <w:rsid w:val="00927C8B"/>
    <w:rsid w:val="009306DD"/>
    <w:rsid w:val="009322BB"/>
    <w:rsid w:val="00933EF3"/>
    <w:rsid w:val="0093485E"/>
    <w:rsid w:val="009419CF"/>
    <w:rsid w:val="00941B88"/>
    <w:rsid w:val="00941CF0"/>
    <w:rsid w:val="00943419"/>
    <w:rsid w:val="00945499"/>
    <w:rsid w:val="00952170"/>
    <w:rsid w:val="0095332C"/>
    <w:rsid w:val="00954DB8"/>
    <w:rsid w:val="009562E9"/>
    <w:rsid w:val="009569F4"/>
    <w:rsid w:val="00956A47"/>
    <w:rsid w:val="009602BE"/>
    <w:rsid w:val="00962EF1"/>
    <w:rsid w:val="00963A0F"/>
    <w:rsid w:val="009657D4"/>
    <w:rsid w:val="00966242"/>
    <w:rsid w:val="00966AF5"/>
    <w:rsid w:val="0097347B"/>
    <w:rsid w:val="0098244A"/>
    <w:rsid w:val="00984369"/>
    <w:rsid w:val="00985305"/>
    <w:rsid w:val="00991746"/>
    <w:rsid w:val="0099367A"/>
    <w:rsid w:val="0099575B"/>
    <w:rsid w:val="00995CC4"/>
    <w:rsid w:val="0099686E"/>
    <w:rsid w:val="009A20CD"/>
    <w:rsid w:val="009A2BEF"/>
    <w:rsid w:val="009A3D7B"/>
    <w:rsid w:val="009A453E"/>
    <w:rsid w:val="009A47BE"/>
    <w:rsid w:val="009A54E9"/>
    <w:rsid w:val="009A76EC"/>
    <w:rsid w:val="009B3787"/>
    <w:rsid w:val="009B38DD"/>
    <w:rsid w:val="009B4884"/>
    <w:rsid w:val="009B7FD5"/>
    <w:rsid w:val="009C21E6"/>
    <w:rsid w:val="009C5859"/>
    <w:rsid w:val="009C5DA8"/>
    <w:rsid w:val="009D308E"/>
    <w:rsid w:val="009D66EF"/>
    <w:rsid w:val="009D6CBF"/>
    <w:rsid w:val="009D7E5F"/>
    <w:rsid w:val="009E16B4"/>
    <w:rsid w:val="009E21B0"/>
    <w:rsid w:val="009E4AF5"/>
    <w:rsid w:val="009E4E3D"/>
    <w:rsid w:val="009E63D5"/>
    <w:rsid w:val="009E68A4"/>
    <w:rsid w:val="009E7B48"/>
    <w:rsid w:val="009F0A98"/>
    <w:rsid w:val="009F2193"/>
    <w:rsid w:val="009F3916"/>
    <w:rsid w:val="009F6A47"/>
    <w:rsid w:val="00A00A49"/>
    <w:rsid w:val="00A00F29"/>
    <w:rsid w:val="00A01FE9"/>
    <w:rsid w:val="00A021E5"/>
    <w:rsid w:val="00A04562"/>
    <w:rsid w:val="00A140DD"/>
    <w:rsid w:val="00A14BDB"/>
    <w:rsid w:val="00A26637"/>
    <w:rsid w:val="00A32FB4"/>
    <w:rsid w:val="00A3634E"/>
    <w:rsid w:val="00A43252"/>
    <w:rsid w:val="00A47B82"/>
    <w:rsid w:val="00A53B3A"/>
    <w:rsid w:val="00A564BB"/>
    <w:rsid w:val="00A571E2"/>
    <w:rsid w:val="00A61732"/>
    <w:rsid w:val="00A619C5"/>
    <w:rsid w:val="00A61E6F"/>
    <w:rsid w:val="00A65A1E"/>
    <w:rsid w:val="00A70D01"/>
    <w:rsid w:val="00A70DA4"/>
    <w:rsid w:val="00A711CE"/>
    <w:rsid w:val="00A72EF9"/>
    <w:rsid w:val="00A73DA8"/>
    <w:rsid w:val="00A73DD3"/>
    <w:rsid w:val="00A75473"/>
    <w:rsid w:val="00A77DEC"/>
    <w:rsid w:val="00A80056"/>
    <w:rsid w:val="00A90FB7"/>
    <w:rsid w:val="00A9366A"/>
    <w:rsid w:val="00A956F7"/>
    <w:rsid w:val="00A965FA"/>
    <w:rsid w:val="00AA0072"/>
    <w:rsid w:val="00AA2015"/>
    <w:rsid w:val="00AA2131"/>
    <w:rsid w:val="00AA2788"/>
    <w:rsid w:val="00AB004F"/>
    <w:rsid w:val="00AB1047"/>
    <w:rsid w:val="00AB4F70"/>
    <w:rsid w:val="00AB58A9"/>
    <w:rsid w:val="00AB76A8"/>
    <w:rsid w:val="00AC5ABF"/>
    <w:rsid w:val="00AC7445"/>
    <w:rsid w:val="00AC7823"/>
    <w:rsid w:val="00AD1036"/>
    <w:rsid w:val="00AD14E0"/>
    <w:rsid w:val="00AD5CF9"/>
    <w:rsid w:val="00AD6325"/>
    <w:rsid w:val="00AD734D"/>
    <w:rsid w:val="00AD79A7"/>
    <w:rsid w:val="00AE1E95"/>
    <w:rsid w:val="00AE33CC"/>
    <w:rsid w:val="00AE4ADF"/>
    <w:rsid w:val="00AE52A8"/>
    <w:rsid w:val="00AE79B2"/>
    <w:rsid w:val="00AF0040"/>
    <w:rsid w:val="00AF12F1"/>
    <w:rsid w:val="00AF27A4"/>
    <w:rsid w:val="00B054BF"/>
    <w:rsid w:val="00B05BE0"/>
    <w:rsid w:val="00B111AC"/>
    <w:rsid w:val="00B20E78"/>
    <w:rsid w:val="00B220DD"/>
    <w:rsid w:val="00B24BB9"/>
    <w:rsid w:val="00B31650"/>
    <w:rsid w:val="00B325BA"/>
    <w:rsid w:val="00B35132"/>
    <w:rsid w:val="00B427BE"/>
    <w:rsid w:val="00B4399A"/>
    <w:rsid w:val="00B457F8"/>
    <w:rsid w:val="00B47D23"/>
    <w:rsid w:val="00B47F42"/>
    <w:rsid w:val="00B53C99"/>
    <w:rsid w:val="00B55FF1"/>
    <w:rsid w:val="00B6254A"/>
    <w:rsid w:val="00B6461A"/>
    <w:rsid w:val="00B6523E"/>
    <w:rsid w:val="00B66F71"/>
    <w:rsid w:val="00B67E9F"/>
    <w:rsid w:val="00B70A09"/>
    <w:rsid w:val="00B73EC4"/>
    <w:rsid w:val="00B73F10"/>
    <w:rsid w:val="00B8463E"/>
    <w:rsid w:val="00B918BB"/>
    <w:rsid w:val="00B92B98"/>
    <w:rsid w:val="00B93357"/>
    <w:rsid w:val="00B940B5"/>
    <w:rsid w:val="00B9719E"/>
    <w:rsid w:val="00B973B0"/>
    <w:rsid w:val="00B9761B"/>
    <w:rsid w:val="00BA325E"/>
    <w:rsid w:val="00BA3B6D"/>
    <w:rsid w:val="00BA530E"/>
    <w:rsid w:val="00BB097D"/>
    <w:rsid w:val="00BB23D9"/>
    <w:rsid w:val="00BB29E2"/>
    <w:rsid w:val="00BB3C04"/>
    <w:rsid w:val="00BB5576"/>
    <w:rsid w:val="00BB7EA1"/>
    <w:rsid w:val="00BC389A"/>
    <w:rsid w:val="00BC3ADF"/>
    <w:rsid w:val="00BC623F"/>
    <w:rsid w:val="00BC6453"/>
    <w:rsid w:val="00BD12A6"/>
    <w:rsid w:val="00BD4467"/>
    <w:rsid w:val="00BD46BA"/>
    <w:rsid w:val="00BD544F"/>
    <w:rsid w:val="00BD5D9E"/>
    <w:rsid w:val="00BD6195"/>
    <w:rsid w:val="00BE2458"/>
    <w:rsid w:val="00BE3759"/>
    <w:rsid w:val="00BE5911"/>
    <w:rsid w:val="00BE622C"/>
    <w:rsid w:val="00BE7576"/>
    <w:rsid w:val="00BF3276"/>
    <w:rsid w:val="00BF3739"/>
    <w:rsid w:val="00BF4900"/>
    <w:rsid w:val="00BF67DF"/>
    <w:rsid w:val="00BF6E9B"/>
    <w:rsid w:val="00BF7446"/>
    <w:rsid w:val="00C01DD4"/>
    <w:rsid w:val="00C04F67"/>
    <w:rsid w:val="00C07492"/>
    <w:rsid w:val="00C07CBE"/>
    <w:rsid w:val="00C27EF9"/>
    <w:rsid w:val="00C31A3C"/>
    <w:rsid w:val="00C3225B"/>
    <w:rsid w:val="00C32530"/>
    <w:rsid w:val="00C3501D"/>
    <w:rsid w:val="00C45156"/>
    <w:rsid w:val="00C47A1C"/>
    <w:rsid w:val="00C50914"/>
    <w:rsid w:val="00C50EF7"/>
    <w:rsid w:val="00C52110"/>
    <w:rsid w:val="00C57341"/>
    <w:rsid w:val="00C61602"/>
    <w:rsid w:val="00C617DE"/>
    <w:rsid w:val="00C62481"/>
    <w:rsid w:val="00C6504E"/>
    <w:rsid w:val="00C6778C"/>
    <w:rsid w:val="00C70E25"/>
    <w:rsid w:val="00C73C15"/>
    <w:rsid w:val="00C7602A"/>
    <w:rsid w:val="00C76C49"/>
    <w:rsid w:val="00C770EE"/>
    <w:rsid w:val="00C83922"/>
    <w:rsid w:val="00C91D12"/>
    <w:rsid w:val="00C92F76"/>
    <w:rsid w:val="00C94208"/>
    <w:rsid w:val="00C949F5"/>
    <w:rsid w:val="00C95BF9"/>
    <w:rsid w:val="00C96831"/>
    <w:rsid w:val="00C96C8F"/>
    <w:rsid w:val="00C96F7D"/>
    <w:rsid w:val="00CA098B"/>
    <w:rsid w:val="00CB6AD7"/>
    <w:rsid w:val="00CC2551"/>
    <w:rsid w:val="00CC2D05"/>
    <w:rsid w:val="00CC3181"/>
    <w:rsid w:val="00CC5A23"/>
    <w:rsid w:val="00CC615C"/>
    <w:rsid w:val="00CC76C8"/>
    <w:rsid w:val="00CD4AF1"/>
    <w:rsid w:val="00CD571B"/>
    <w:rsid w:val="00CE11B4"/>
    <w:rsid w:val="00CE1458"/>
    <w:rsid w:val="00CE2226"/>
    <w:rsid w:val="00CE25A8"/>
    <w:rsid w:val="00CE7180"/>
    <w:rsid w:val="00CF2F51"/>
    <w:rsid w:val="00CF62C0"/>
    <w:rsid w:val="00D00C81"/>
    <w:rsid w:val="00D02592"/>
    <w:rsid w:val="00D02657"/>
    <w:rsid w:val="00D02AAE"/>
    <w:rsid w:val="00D02C7F"/>
    <w:rsid w:val="00D04E4F"/>
    <w:rsid w:val="00D10052"/>
    <w:rsid w:val="00D1073F"/>
    <w:rsid w:val="00D13FA8"/>
    <w:rsid w:val="00D200F1"/>
    <w:rsid w:val="00D21F8A"/>
    <w:rsid w:val="00D22A06"/>
    <w:rsid w:val="00D2447E"/>
    <w:rsid w:val="00D30DE7"/>
    <w:rsid w:val="00D33B58"/>
    <w:rsid w:val="00D33FD5"/>
    <w:rsid w:val="00D34F20"/>
    <w:rsid w:val="00D35CFA"/>
    <w:rsid w:val="00D42D28"/>
    <w:rsid w:val="00D4366D"/>
    <w:rsid w:val="00D47853"/>
    <w:rsid w:val="00D51F1D"/>
    <w:rsid w:val="00D532D7"/>
    <w:rsid w:val="00D54B9B"/>
    <w:rsid w:val="00D57404"/>
    <w:rsid w:val="00D5773E"/>
    <w:rsid w:val="00D57D08"/>
    <w:rsid w:val="00D60F20"/>
    <w:rsid w:val="00D620C4"/>
    <w:rsid w:val="00D622F5"/>
    <w:rsid w:val="00D655D2"/>
    <w:rsid w:val="00D67FDD"/>
    <w:rsid w:val="00D72634"/>
    <w:rsid w:val="00D72693"/>
    <w:rsid w:val="00D73FB9"/>
    <w:rsid w:val="00D7556D"/>
    <w:rsid w:val="00D75E8F"/>
    <w:rsid w:val="00D76819"/>
    <w:rsid w:val="00D828AD"/>
    <w:rsid w:val="00D87592"/>
    <w:rsid w:val="00D878E4"/>
    <w:rsid w:val="00D91761"/>
    <w:rsid w:val="00D91F1E"/>
    <w:rsid w:val="00D9416D"/>
    <w:rsid w:val="00D95EE5"/>
    <w:rsid w:val="00DA2EF6"/>
    <w:rsid w:val="00DA391B"/>
    <w:rsid w:val="00DB2270"/>
    <w:rsid w:val="00DB72E3"/>
    <w:rsid w:val="00DC00E8"/>
    <w:rsid w:val="00DC0E59"/>
    <w:rsid w:val="00DC219B"/>
    <w:rsid w:val="00DC497E"/>
    <w:rsid w:val="00DC7C49"/>
    <w:rsid w:val="00DD1764"/>
    <w:rsid w:val="00DD3266"/>
    <w:rsid w:val="00DD3622"/>
    <w:rsid w:val="00DD3927"/>
    <w:rsid w:val="00DD3C70"/>
    <w:rsid w:val="00DE01B6"/>
    <w:rsid w:val="00DE02BC"/>
    <w:rsid w:val="00DE11BE"/>
    <w:rsid w:val="00DE2D5E"/>
    <w:rsid w:val="00DE2DC4"/>
    <w:rsid w:val="00DE3354"/>
    <w:rsid w:val="00DE542C"/>
    <w:rsid w:val="00DE6D7B"/>
    <w:rsid w:val="00DF04B7"/>
    <w:rsid w:val="00DF10FB"/>
    <w:rsid w:val="00DF51DD"/>
    <w:rsid w:val="00E021F1"/>
    <w:rsid w:val="00E0241F"/>
    <w:rsid w:val="00E03157"/>
    <w:rsid w:val="00E0422A"/>
    <w:rsid w:val="00E079C6"/>
    <w:rsid w:val="00E07C5A"/>
    <w:rsid w:val="00E1278B"/>
    <w:rsid w:val="00E127C2"/>
    <w:rsid w:val="00E13EB4"/>
    <w:rsid w:val="00E13F30"/>
    <w:rsid w:val="00E15AC9"/>
    <w:rsid w:val="00E21D97"/>
    <w:rsid w:val="00E21DCC"/>
    <w:rsid w:val="00E21FB7"/>
    <w:rsid w:val="00E23B94"/>
    <w:rsid w:val="00E26310"/>
    <w:rsid w:val="00E2648E"/>
    <w:rsid w:val="00E27EF3"/>
    <w:rsid w:val="00E3037E"/>
    <w:rsid w:val="00E3126A"/>
    <w:rsid w:val="00E31B18"/>
    <w:rsid w:val="00E31BDB"/>
    <w:rsid w:val="00E36B00"/>
    <w:rsid w:val="00E37001"/>
    <w:rsid w:val="00E37196"/>
    <w:rsid w:val="00E403B8"/>
    <w:rsid w:val="00E41A9E"/>
    <w:rsid w:val="00E438B6"/>
    <w:rsid w:val="00E46FCD"/>
    <w:rsid w:val="00E513D2"/>
    <w:rsid w:val="00E55AB2"/>
    <w:rsid w:val="00E57E61"/>
    <w:rsid w:val="00E6170D"/>
    <w:rsid w:val="00E635CE"/>
    <w:rsid w:val="00E64A8E"/>
    <w:rsid w:val="00E67221"/>
    <w:rsid w:val="00E769D3"/>
    <w:rsid w:val="00E77996"/>
    <w:rsid w:val="00E86FE0"/>
    <w:rsid w:val="00E87D23"/>
    <w:rsid w:val="00E95A6D"/>
    <w:rsid w:val="00EA2F42"/>
    <w:rsid w:val="00EA35B8"/>
    <w:rsid w:val="00EA7584"/>
    <w:rsid w:val="00EB01AF"/>
    <w:rsid w:val="00EC09C4"/>
    <w:rsid w:val="00EC1979"/>
    <w:rsid w:val="00EC3F1A"/>
    <w:rsid w:val="00ED1620"/>
    <w:rsid w:val="00ED3590"/>
    <w:rsid w:val="00ED6498"/>
    <w:rsid w:val="00ED7746"/>
    <w:rsid w:val="00EE1CCF"/>
    <w:rsid w:val="00EE3753"/>
    <w:rsid w:val="00EF089A"/>
    <w:rsid w:val="00EF0E09"/>
    <w:rsid w:val="00EF1653"/>
    <w:rsid w:val="00F00211"/>
    <w:rsid w:val="00F01934"/>
    <w:rsid w:val="00F026DB"/>
    <w:rsid w:val="00F04574"/>
    <w:rsid w:val="00F04F59"/>
    <w:rsid w:val="00F075C8"/>
    <w:rsid w:val="00F07ACB"/>
    <w:rsid w:val="00F12D75"/>
    <w:rsid w:val="00F17EC5"/>
    <w:rsid w:val="00F23939"/>
    <w:rsid w:val="00F2489A"/>
    <w:rsid w:val="00F31026"/>
    <w:rsid w:val="00F323A2"/>
    <w:rsid w:val="00F3524F"/>
    <w:rsid w:val="00F36970"/>
    <w:rsid w:val="00F37AB1"/>
    <w:rsid w:val="00F47DEA"/>
    <w:rsid w:val="00F512CE"/>
    <w:rsid w:val="00F52070"/>
    <w:rsid w:val="00F529D2"/>
    <w:rsid w:val="00F533CC"/>
    <w:rsid w:val="00F53405"/>
    <w:rsid w:val="00F535FA"/>
    <w:rsid w:val="00F53B38"/>
    <w:rsid w:val="00F649E5"/>
    <w:rsid w:val="00F65EC1"/>
    <w:rsid w:val="00F67840"/>
    <w:rsid w:val="00F75378"/>
    <w:rsid w:val="00F772A4"/>
    <w:rsid w:val="00F80C37"/>
    <w:rsid w:val="00F854D8"/>
    <w:rsid w:val="00F9264D"/>
    <w:rsid w:val="00F9286D"/>
    <w:rsid w:val="00F95B03"/>
    <w:rsid w:val="00F96FD2"/>
    <w:rsid w:val="00F9708F"/>
    <w:rsid w:val="00F97992"/>
    <w:rsid w:val="00F97ADF"/>
    <w:rsid w:val="00FA1198"/>
    <w:rsid w:val="00FA4502"/>
    <w:rsid w:val="00FA568A"/>
    <w:rsid w:val="00FA73A9"/>
    <w:rsid w:val="00FB14AE"/>
    <w:rsid w:val="00FC4AA6"/>
    <w:rsid w:val="00FC652C"/>
    <w:rsid w:val="00FC7AD1"/>
    <w:rsid w:val="00FC7C55"/>
    <w:rsid w:val="00FD09F9"/>
    <w:rsid w:val="00FD21E3"/>
    <w:rsid w:val="00FD2C23"/>
    <w:rsid w:val="00FD70B5"/>
    <w:rsid w:val="00FE5D76"/>
    <w:rsid w:val="00FF0306"/>
    <w:rsid w:val="00FF1491"/>
    <w:rsid w:val="00FF55C1"/>
    <w:rsid w:val="01C34939"/>
    <w:rsid w:val="01D958A4"/>
    <w:rsid w:val="03426C9A"/>
    <w:rsid w:val="03A01C6D"/>
    <w:rsid w:val="04803C5E"/>
    <w:rsid w:val="05216410"/>
    <w:rsid w:val="05C06BD7"/>
    <w:rsid w:val="05E87466"/>
    <w:rsid w:val="06523118"/>
    <w:rsid w:val="06752E14"/>
    <w:rsid w:val="067945DC"/>
    <w:rsid w:val="06F2558C"/>
    <w:rsid w:val="098424BC"/>
    <w:rsid w:val="0AB74FA0"/>
    <w:rsid w:val="0B92362D"/>
    <w:rsid w:val="0BB1688B"/>
    <w:rsid w:val="0C960E59"/>
    <w:rsid w:val="0D196B56"/>
    <w:rsid w:val="0DCF7A68"/>
    <w:rsid w:val="0F0E18EA"/>
    <w:rsid w:val="0F801499"/>
    <w:rsid w:val="109E09C9"/>
    <w:rsid w:val="10E254AA"/>
    <w:rsid w:val="1183190E"/>
    <w:rsid w:val="127E046C"/>
    <w:rsid w:val="12932EDA"/>
    <w:rsid w:val="1294430B"/>
    <w:rsid w:val="135720BC"/>
    <w:rsid w:val="141D3A32"/>
    <w:rsid w:val="162446DD"/>
    <w:rsid w:val="17AB3266"/>
    <w:rsid w:val="17F04A96"/>
    <w:rsid w:val="193A625F"/>
    <w:rsid w:val="19596E6B"/>
    <w:rsid w:val="1A665E00"/>
    <w:rsid w:val="1AA86066"/>
    <w:rsid w:val="1C6B1D4A"/>
    <w:rsid w:val="1DB019AD"/>
    <w:rsid w:val="203377F4"/>
    <w:rsid w:val="20A44828"/>
    <w:rsid w:val="21201D0A"/>
    <w:rsid w:val="21645F83"/>
    <w:rsid w:val="22CA42A0"/>
    <w:rsid w:val="242B7069"/>
    <w:rsid w:val="249858A1"/>
    <w:rsid w:val="260A1B8F"/>
    <w:rsid w:val="26495536"/>
    <w:rsid w:val="27BF0508"/>
    <w:rsid w:val="29F41385"/>
    <w:rsid w:val="2A162A4A"/>
    <w:rsid w:val="2A7614CF"/>
    <w:rsid w:val="2B333962"/>
    <w:rsid w:val="2B49018F"/>
    <w:rsid w:val="2C2D5D75"/>
    <w:rsid w:val="2F414F6C"/>
    <w:rsid w:val="3010414B"/>
    <w:rsid w:val="32957AA4"/>
    <w:rsid w:val="34573727"/>
    <w:rsid w:val="34B912D4"/>
    <w:rsid w:val="36501FC0"/>
    <w:rsid w:val="3739441D"/>
    <w:rsid w:val="37861808"/>
    <w:rsid w:val="3B130C5F"/>
    <w:rsid w:val="3B182C9D"/>
    <w:rsid w:val="3BBF6FCF"/>
    <w:rsid w:val="3BE367AC"/>
    <w:rsid w:val="3C5C23A5"/>
    <w:rsid w:val="3C614088"/>
    <w:rsid w:val="3DCF3E85"/>
    <w:rsid w:val="3E875B65"/>
    <w:rsid w:val="3EB355E2"/>
    <w:rsid w:val="3FDE59A5"/>
    <w:rsid w:val="40C80836"/>
    <w:rsid w:val="41702337"/>
    <w:rsid w:val="41ED035D"/>
    <w:rsid w:val="42AE7E95"/>
    <w:rsid w:val="430B318A"/>
    <w:rsid w:val="435A025B"/>
    <w:rsid w:val="461218BD"/>
    <w:rsid w:val="46CD3173"/>
    <w:rsid w:val="47440FE7"/>
    <w:rsid w:val="478A2FB0"/>
    <w:rsid w:val="47E06FE3"/>
    <w:rsid w:val="48354A65"/>
    <w:rsid w:val="48661149"/>
    <w:rsid w:val="49536B2B"/>
    <w:rsid w:val="49CD1B1E"/>
    <w:rsid w:val="4A692E25"/>
    <w:rsid w:val="4BCC33F7"/>
    <w:rsid w:val="4C2C1E65"/>
    <w:rsid w:val="4CBC3DED"/>
    <w:rsid w:val="4CFA7445"/>
    <w:rsid w:val="4D550108"/>
    <w:rsid w:val="4D9D0A43"/>
    <w:rsid w:val="4DC23403"/>
    <w:rsid w:val="4E115023"/>
    <w:rsid w:val="4E7A015F"/>
    <w:rsid w:val="4F9C7C91"/>
    <w:rsid w:val="51874CC6"/>
    <w:rsid w:val="519B3C1F"/>
    <w:rsid w:val="51A056CA"/>
    <w:rsid w:val="51A34B85"/>
    <w:rsid w:val="5539694F"/>
    <w:rsid w:val="555F6FD1"/>
    <w:rsid w:val="56F33D8A"/>
    <w:rsid w:val="56F41486"/>
    <w:rsid w:val="572172AD"/>
    <w:rsid w:val="572C5638"/>
    <w:rsid w:val="576F0513"/>
    <w:rsid w:val="57A15818"/>
    <w:rsid w:val="57FF2F6E"/>
    <w:rsid w:val="58145BC7"/>
    <w:rsid w:val="58653142"/>
    <w:rsid w:val="59D11302"/>
    <w:rsid w:val="5AE13DD8"/>
    <w:rsid w:val="5AE4339C"/>
    <w:rsid w:val="5B2D0C68"/>
    <w:rsid w:val="5C7378EC"/>
    <w:rsid w:val="5C7906B8"/>
    <w:rsid w:val="5D8F086D"/>
    <w:rsid w:val="5FA4435D"/>
    <w:rsid w:val="61263978"/>
    <w:rsid w:val="61D20F91"/>
    <w:rsid w:val="61E145A0"/>
    <w:rsid w:val="622F08AF"/>
    <w:rsid w:val="62E301D1"/>
    <w:rsid w:val="63375C49"/>
    <w:rsid w:val="63A95043"/>
    <w:rsid w:val="6439518D"/>
    <w:rsid w:val="64A52F48"/>
    <w:rsid w:val="650D09EB"/>
    <w:rsid w:val="66D36F6B"/>
    <w:rsid w:val="67006158"/>
    <w:rsid w:val="671D51DB"/>
    <w:rsid w:val="6732199D"/>
    <w:rsid w:val="681D62D5"/>
    <w:rsid w:val="68954D7F"/>
    <w:rsid w:val="68D92243"/>
    <w:rsid w:val="697B5F61"/>
    <w:rsid w:val="6A785E88"/>
    <w:rsid w:val="6B002E6C"/>
    <w:rsid w:val="6B2D5045"/>
    <w:rsid w:val="6BF87F8F"/>
    <w:rsid w:val="6C8D5AF0"/>
    <w:rsid w:val="6D994473"/>
    <w:rsid w:val="6DB45D87"/>
    <w:rsid w:val="6EFC21C3"/>
    <w:rsid w:val="6F1775CE"/>
    <w:rsid w:val="6F1A1DDC"/>
    <w:rsid w:val="708A3FB5"/>
    <w:rsid w:val="70C76DF1"/>
    <w:rsid w:val="70FA0CB6"/>
    <w:rsid w:val="71255AD4"/>
    <w:rsid w:val="71797098"/>
    <w:rsid w:val="739D5149"/>
    <w:rsid w:val="73FF6D74"/>
    <w:rsid w:val="74FD43A0"/>
    <w:rsid w:val="77471893"/>
    <w:rsid w:val="78D006E5"/>
    <w:rsid w:val="791A5379"/>
    <w:rsid w:val="7A392094"/>
    <w:rsid w:val="7AF035FF"/>
    <w:rsid w:val="7B0B77F2"/>
    <w:rsid w:val="7CDB60A1"/>
    <w:rsid w:val="7D406248"/>
    <w:rsid w:val="7F226F1E"/>
    <w:rsid w:val="7FD8476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name="header"/>
    <w:lsdException w:qFormat="1" w:unhideWhenUsed="0" w:uiPriority="0" w:semiHidden="0" w:name="footer"/>
    <w:lsdException w:uiPriority="0" w:name="index heading"/>
    <w:lsdException w:qFormat="1" w:unhideWhenUsed="0" w:uiPriority="0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semiHidden="0" w:name="macro"/>
    <w:lsdException w:uiPriority="0" w:name="toa heading"/>
    <w:lsdException w:uiPriority="0" w:name="List"/>
    <w:lsdException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name="Body Text"/>
    <w:lsdException w:qFormat="1" w:unhideWhenUsed="0" w:uiPriority="0" w:name="Body Text Indent"/>
    <w:lsdException w:uiPriority="0" w:name="List Continue"/>
    <w:lsdException w:uiPriority="0" w:name="List Continue 2"/>
    <w:lsdException w:uiPriority="0" w:semiHidden="0" w:name="List Continue 3"/>
    <w:lsdException w:uiPriority="0" w:semiHidden="0" w:name="List Continue 4"/>
    <w:lsdException w:uiPriority="0" w:semiHidden="0" w:name="List Continue 5"/>
    <w:lsdException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name="Body Text Indent 2"/>
    <w:lsdException w:uiPriority="0" w:name="Body Text Indent 3"/>
    <w:lsdException w:uiPriority="0" w:name="Block Text"/>
    <w:lsdException w:qFormat="1" w:unhideWhenUsed="0" w:uiPriority="0" w:name="Hyperlink"/>
    <w:lsdException w:qFormat="1" w:unhideWhenUsed="0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iPriority="99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Arial" w:hAnsi="Arial" w:eastAsia="宋体" w:cs="Times New Roman"/>
      <w:spacing w:val="-5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widowControl w:val="0"/>
      <w:snapToGrid w:val="0"/>
      <w:spacing w:line="520" w:lineRule="exact"/>
      <w:jc w:val="both"/>
      <w:outlineLvl w:val="0"/>
    </w:pPr>
    <w:rPr>
      <w:rFonts w:ascii="Times New Roman" w:hAnsi="Times New Roman"/>
      <w:spacing w:val="0"/>
      <w:kern w:val="2"/>
      <w:sz w:val="30"/>
      <w:szCs w:val="23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eastAsia="宋体" w:cs="Courier New"/>
      <w:szCs w:val="21"/>
    </w:rPr>
  </w:style>
  <w:style w:type="paragraph" w:styleId="5">
    <w:name w:val="caption"/>
    <w:basedOn w:val="1"/>
    <w:next w:val="1"/>
    <w:qFormat/>
    <w:uiPriority w:val="0"/>
    <w:pPr>
      <w:widowControl w:val="0"/>
      <w:spacing w:before="152" w:after="160"/>
      <w:jc w:val="both"/>
    </w:pPr>
    <w:rPr>
      <w:rFonts w:eastAsia="黑体" w:cs="Arial"/>
      <w:spacing w:val="0"/>
      <w:kern w:val="2"/>
    </w:rPr>
  </w:style>
  <w:style w:type="paragraph" w:styleId="6">
    <w:name w:val="annotation text"/>
    <w:basedOn w:val="1"/>
    <w:link w:val="32"/>
    <w:qFormat/>
    <w:uiPriority w:val="0"/>
  </w:style>
  <w:style w:type="paragraph" w:styleId="7">
    <w:name w:val="Body Text"/>
    <w:basedOn w:val="1"/>
    <w:semiHidden/>
    <w:qFormat/>
    <w:uiPriority w:val="0"/>
    <w:pPr>
      <w:snapToGrid w:val="0"/>
      <w:spacing w:beforeLines="250"/>
      <w:jc w:val="center"/>
    </w:pPr>
    <w:rPr>
      <w:rFonts w:ascii="宋体"/>
      <w:b/>
      <w:sz w:val="44"/>
    </w:rPr>
  </w:style>
  <w:style w:type="paragraph" w:styleId="8">
    <w:name w:val="Body Text Indent"/>
    <w:basedOn w:val="1"/>
    <w:semiHidden/>
    <w:qFormat/>
    <w:uiPriority w:val="0"/>
    <w:pPr>
      <w:snapToGrid w:val="0"/>
      <w:spacing w:line="480" w:lineRule="exact"/>
      <w:ind w:firstLine="570"/>
    </w:pPr>
    <w:rPr>
      <w:rFonts w:ascii="仿宋_GB2312" w:eastAsia="仿宋_GB2312"/>
      <w:sz w:val="30"/>
    </w:rPr>
  </w:style>
  <w:style w:type="paragraph" w:styleId="9">
    <w:name w:val="Date"/>
    <w:basedOn w:val="1"/>
    <w:next w:val="1"/>
    <w:semiHidden/>
    <w:qFormat/>
    <w:uiPriority w:val="0"/>
    <w:pPr>
      <w:ind w:left="100" w:leftChars="2500"/>
    </w:pPr>
    <w:rPr>
      <w:sz w:val="30"/>
    </w:rPr>
  </w:style>
  <w:style w:type="paragraph" w:styleId="10">
    <w:name w:val="Body Text Indent 2"/>
    <w:basedOn w:val="1"/>
    <w:semiHidden/>
    <w:qFormat/>
    <w:uiPriority w:val="0"/>
    <w:pPr>
      <w:ind w:firstLine="580" w:firstLineChars="200"/>
    </w:pPr>
    <w:rPr>
      <w:rFonts w:ascii="Times New Roman" w:hAnsi="Times New Roman" w:eastAsia="仿宋_GB2312"/>
      <w:color w:val="000000"/>
      <w:sz w:val="30"/>
      <w:szCs w:val="40"/>
    </w:rPr>
  </w:style>
  <w:style w:type="paragraph" w:styleId="11">
    <w:name w:val="Balloon Text"/>
    <w:basedOn w:val="1"/>
    <w:semiHidden/>
    <w:qFormat/>
    <w:uiPriority w:val="0"/>
    <w:rPr>
      <w:sz w:val="18"/>
      <w:szCs w:val="18"/>
    </w:rPr>
  </w:style>
  <w:style w:type="paragraph" w:styleId="12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header"/>
    <w:basedOn w:val="1"/>
    <w:link w:val="22"/>
    <w:semiHidden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qFormat/>
    <w:uiPriority w:val="99"/>
    <w:pPr>
      <w:spacing w:before="100" w:beforeAutospacing="1" w:after="100" w:afterAutospacing="1"/>
    </w:pPr>
    <w:rPr>
      <w:rFonts w:ascii="宋体" w:hAnsi="宋体"/>
      <w:spacing w:val="0"/>
      <w:sz w:val="24"/>
      <w:szCs w:val="24"/>
    </w:rPr>
  </w:style>
  <w:style w:type="paragraph" w:styleId="15">
    <w:name w:val="annotation subject"/>
    <w:basedOn w:val="6"/>
    <w:next w:val="6"/>
    <w:link w:val="33"/>
    <w:qFormat/>
    <w:uiPriority w:val="0"/>
    <w:rPr>
      <w:b/>
      <w:bCs/>
    </w:rPr>
  </w:style>
  <w:style w:type="table" w:styleId="17">
    <w:name w:val="Table Grid"/>
    <w:basedOn w:val="1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FollowedHyperlink"/>
    <w:semiHidden/>
    <w:qFormat/>
    <w:uiPriority w:val="0"/>
    <w:rPr>
      <w:rFonts w:cs="Times New Roman"/>
      <w:color w:val="800080"/>
      <w:u w:val="single"/>
    </w:rPr>
  </w:style>
  <w:style w:type="character" w:styleId="20">
    <w:name w:val="Hyperlink"/>
    <w:semiHidden/>
    <w:qFormat/>
    <w:uiPriority w:val="0"/>
    <w:rPr>
      <w:rFonts w:cs="Times New Roman"/>
      <w:color w:val="0000FF"/>
      <w:u w:val="single"/>
    </w:rPr>
  </w:style>
  <w:style w:type="character" w:styleId="21">
    <w:name w:val="annotation reference"/>
    <w:basedOn w:val="18"/>
    <w:qFormat/>
    <w:uiPriority w:val="0"/>
    <w:rPr>
      <w:sz w:val="21"/>
      <w:szCs w:val="21"/>
    </w:rPr>
  </w:style>
  <w:style w:type="character" w:customStyle="1" w:styleId="22">
    <w:name w:val="页眉 Char"/>
    <w:link w:val="13"/>
    <w:semiHidden/>
    <w:qFormat/>
    <w:locked/>
    <w:uiPriority w:val="0"/>
    <w:rPr>
      <w:rFonts w:ascii="Arial" w:hAnsi="Arial" w:cs="Times New Roman"/>
      <w:spacing w:val="-5"/>
      <w:sz w:val="18"/>
      <w:szCs w:val="18"/>
    </w:rPr>
  </w:style>
  <w:style w:type="character" w:customStyle="1" w:styleId="23">
    <w:name w:val="页脚 Char"/>
    <w:link w:val="12"/>
    <w:qFormat/>
    <w:locked/>
    <w:uiPriority w:val="0"/>
    <w:rPr>
      <w:rFonts w:ascii="Arial" w:hAnsi="Arial" w:cs="Times New Roman"/>
      <w:spacing w:val="-5"/>
      <w:sz w:val="18"/>
      <w:szCs w:val="18"/>
    </w:rPr>
  </w:style>
  <w:style w:type="paragraph" w:customStyle="1" w:styleId="24">
    <w:name w:val="列出段落1"/>
    <w:basedOn w:val="1"/>
    <w:qFormat/>
    <w:uiPriority w:val="0"/>
    <w:pPr>
      <w:widowControl w:val="0"/>
      <w:ind w:firstLine="420" w:firstLineChars="200"/>
      <w:jc w:val="both"/>
    </w:pPr>
    <w:rPr>
      <w:rFonts w:ascii="Calibri" w:hAnsi="Calibri"/>
      <w:spacing w:val="0"/>
      <w:kern w:val="2"/>
      <w:sz w:val="21"/>
      <w:szCs w:val="22"/>
    </w:rPr>
  </w:style>
  <w:style w:type="character" w:customStyle="1" w:styleId="25">
    <w:name w:val="标题 #1_"/>
    <w:link w:val="26"/>
    <w:qFormat/>
    <w:uiPriority w:val="0"/>
    <w:rPr>
      <w:rFonts w:ascii="MingLiU" w:hAnsi="MingLiU" w:eastAsia="MingLiU" w:cs="MingLiU"/>
      <w:sz w:val="36"/>
      <w:szCs w:val="36"/>
      <w:shd w:val="clear" w:color="auto" w:fill="FFFFFF"/>
    </w:rPr>
  </w:style>
  <w:style w:type="paragraph" w:customStyle="1" w:styleId="26">
    <w:name w:val="标题 #1"/>
    <w:basedOn w:val="1"/>
    <w:link w:val="25"/>
    <w:qFormat/>
    <w:uiPriority w:val="0"/>
    <w:pPr>
      <w:widowControl w:val="0"/>
      <w:shd w:val="clear" w:color="auto" w:fill="FFFFFF"/>
      <w:spacing w:after="240" w:line="0" w:lineRule="atLeast"/>
      <w:outlineLvl w:val="0"/>
    </w:pPr>
    <w:rPr>
      <w:rFonts w:ascii="MingLiU" w:hAnsi="MingLiU" w:eastAsia="MingLiU" w:cs="MingLiU"/>
      <w:spacing w:val="0"/>
      <w:sz w:val="36"/>
      <w:szCs w:val="36"/>
    </w:rPr>
  </w:style>
  <w:style w:type="character" w:customStyle="1" w:styleId="27">
    <w:name w:val="正文文本 (3)_"/>
    <w:link w:val="28"/>
    <w:qFormat/>
    <w:uiPriority w:val="0"/>
    <w:rPr>
      <w:rFonts w:ascii="MingLiU" w:hAnsi="MingLiU" w:eastAsia="MingLiU" w:cs="MingLiU"/>
      <w:b/>
      <w:bCs/>
      <w:sz w:val="23"/>
      <w:szCs w:val="23"/>
      <w:shd w:val="clear" w:color="auto" w:fill="FFFFFF"/>
    </w:rPr>
  </w:style>
  <w:style w:type="paragraph" w:customStyle="1" w:styleId="28">
    <w:name w:val="正文文本 (3)"/>
    <w:basedOn w:val="1"/>
    <w:link w:val="27"/>
    <w:qFormat/>
    <w:uiPriority w:val="0"/>
    <w:pPr>
      <w:widowControl w:val="0"/>
      <w:shd w:val="clear" w:color="auto" w:fill="FFFFFF"/>
      <w:spacing w:before="240" w:line="307" w:lineRule="exact"/>
      <w:jc w:val="distribute"/>
    </w:pPr>
    <w:rPr>
      <w:rFonts w:ascii="MingLiU" w:hAnsi="MingLiU" w:eastAsia="MingLiU" w:cs="MingLiU"/>
      <w:b/>
      <w:bCs/>
      <w:spacing w:val="0"/>
      <w:sz w:val="23"/>
      <w:szCs w:val="23"/>
    </w:rPr>
  </w:style>
  <w:style w:type="character" w:customStyle="1" w:styleId="29">
    <w:name w:val="正文文本 (2)_"/>
    <w:link w:val="30"/>
    <w:qFormat/>
    <w:uiPriority w:val="0"/>
    <w:rPr>
      <w:rFonts w:ascii="MingLiU" w:hAnsi="MingLiU" w:eastAsia="MingLiU" w:cs="MingLiU"/>
      <w:spacing w:val="20"/>
      <w:sz w:val="22"/>
      <w:szCs w:val="22"/>
      <w:shd w:val="clear" w:color="auto" w:fill="FFFFFF"/>
    </w:rPr>
  </w:style>
  <w:style w:type="paragraph" w:customStyle="1" w:styleId="30">
    <w:name w:val="正文文本 (2)"/>
    <w:basedOn w:val="1"/>
    <w:link w:val="29"/>
    <w:qFormat/>
    <w:uiPriority w:val="0"/>
    <w:pPr>
      <w:widowControl w:val="0"/>
      <w:shd w:val="clear" w:color="auto" w:fill="FFFFFF"/>
      <w:spacing w:line="307" w:lineRule="exact"/>
      <w:jc w:val="distribute"/>
    </w:pPr>
    <w:rPr>
      <w:rFonts w:ascii="MingLiU" w:hAnsi="MingLiU" w:eastAsia="MingLiU" w:cs="MingLiU"/>
      <w:spacing w:val="20"/>
      <w:sz w:val="22"/>
      <w:szCs w:val="22"/>
    </w:rPr>
  </w:style>
  <w:style w:type="character" w:customStyle="1" w:styleId="31">
    <w:name w:val="正文文本 (3) + 11 pt"/>
    <w:qFormat/>
    <w:uiPriority w:val="0"/>
    <w:rPr>
      <w:rFonts w:ascii="MingLiU" w:hAnsi="MingLiU" w:eastAsia="MingLiU" w:cs="MingLiU"/>
      <w:b/>
      <w:bCs/>
      <w:color w:val="000000"/>
      <w:spacing w:val="20"/>
      <w:w w:val="100"/>
      <w:position w:val="0"/>
      <w:sz w:val="22"/>
      <w:szCs w:val="22"/>
      <w:u w:val="none"/>
      <w:lang w:val="zh-TW" w:eastAsia="zh-TW" w:bidi="zh-TW"/>
    </w:rPr>
  </w:style>
  <w:style w:type="character" w:customStyle="1" w:styleId="32">
    <w:name w:val="批注文字 Char"/>
    <w:basedOn w:val="18"/>
    <w:link w:val="6"/>
    <w:qFormat/>
    <w:uiPriority w:val="0"/>
    <w:rPr>
      <w:rFonts w:ascii="Arial" w:hAnsi="Arial"/>
      <w:spacing w:val="-5"/>
    </w:rPr>
  </w:style>
  <w:style w:type="character" w:customStyle="1" w:styleId="33">
    <w:name w:val="批注主题 Char"/>
    <w:basedOn w:val="32"/>
    <w:link w:val="15"/>
    <w:qFormat/>
    <w:uiPriority w:val="0"/>
    <w:rPr>
      <w:rFonts w:ascii="Arial" w:hAnsi="Arial"/>
      <w:b/>
      <w:bCs/>
      <w:spacing w:val="-5"/>
    </w:rPr>
  </w:style>
  <w:style w:type="paragraph" w:customStyle="1" w:styleId="3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35">
    <w:name w:val="列出段落2"/>
    <w:basedOn w:val="1"/>
    <w:qFormat/>
    <w:uiPriority w:val="99"/>
    <w:pPr>
      <w:ind w:firstLine="420" w:firstLineChars="200"/>
    </w:pPr>
  </w:style>
  <w:style w:type="paragraph" w:styleId="36">
    <w:name w:val="List Paragraph"/>
    <w:basedOn w:val="1"/>
    <w:qFormat/>
    <w:uiPriority w:val="99"/>
    <w:pPr>
      <w:ind w:firstLine="420" w:firstLineChars="200"/>
    </w:pPr>
  </w:style>
  <w:style w:type="character" w:customStyle="1" w:styleId="37">
    <w:name w:val="fontstyle01"/>
    <w:basedOn w:val="18"/>
    <w:qFormat/>
    <w:uiPriority w:val="0"/>
    <w:rPr>
      <w:rFonts w:ascii="仿宋_GB2312" w:hAnsi="仿宋_GB2312" w:eastAsia="仿宋_GB2312" w:cs="仿宋_GB2312"/>
      <w:color w:val="000000"/>
      <w:sz w:val="32"/>
      <w:szCs w:val="32"/>
    </w:rPr>
  </w:style>
  <w:style w:type="character" w:customStyle="1" w:styleId="38">
    <w:name w:val="fontstyle21"/>
    <w:basedOn w:val="18"/>
    <w:qFormat/>
    <w:uiPriority w:val="0"/>
    <w:rPr>
      <w:rFonts w:ascii="TimesNewRomanPSMT" w:hAnsi="TimesNewRomanPSMT" w:eastAsia="TimesNewRomanPSMT" w:cs="TimesNewRomanPSMT"/>
      <w:color w:val="000000"/>
      <w:sz w:val="32"/>
      <w:szCs w:val="32"/>
    </w:rPr>
  </w:style>
  <w:style w:type="character" w:customStyle="1" w:styleId="39">
    <w:name w:val="font111"/>
    <w:basedOn w:val="18"/>
    <w:qFormat/>
    <w:uiPriority w:val="0"/>
    <w:rPr>
      <w:rFonts w:hint="eastAsia" w:ascii="黑体" w:hAnsi="宋体" w:eastAsia="黑体" w:cs="黑体"/>
      <w:color w:val="FF0000"/>
      <w:sz w:val="24"/>
      <w:szCs w:val="24"/>
      <w:u w:val="none"/>
    </w:rPr>
  </w:style>
  <w:style w:type="character" w:customStyle="1" w:styleId="40">
    <w:name w:val="font31"/>
    <w:basedOn w:val="18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41">
    <w:name w:val="font51"/>
    <w:basedOn w:val="18"/>
    <w:qFormat/>
    <w:uiPriority w:val="0"/>
    <w:rPr>
      <w:rFonts w:hint="eastAsia" w:ascii="宋体" w:hAnsi="宋体" w:eastAsia="宋体" w:cs="宋体"/>
      <w:color w:val="FF0000"/>
      <w:sz w:val="21"/>
      <w:szCs w:val="21"/>
      <w:u w:val="none"/>
    </w:rPr>
  </w:style>
  <w:style w:type="character" w:customStyle="1" w:styleId="42">
    <w:name w:val="font71"/>
    <w:basedOn w:val="1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43">
    <w:name w:val="font122"/>
    <w:basedOn w:val="18"/>
    <w:qFormat/>
    <w:uiPriority w:val="0"/>
    <w:rPr>
      <w:rFonts w:hint="eastAsia" w:ascii="宋体" w:hAnsi="宋体" w:eastAsia="宋体" w:cs="宋体"/>
      <w:color w:val="FF0000"/>
      <w:sz w:val="21"/>
      <w:szCs w:val="21"/>
      <w:u w:val="single"/>
    </w:rPr>
  </w:style>
  <w:style w:type="character" w:customStyle="1" w:styleId="44">
    <w:name w:val="font131"/>
    <w:basedOn w:val="18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5">
    <w:name w:val="font12"/>
    <w:basedOn w:val="18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46">
    <w:name w:val="font151"/>
    <w:basedOn w:val="1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41"/>
    <w:basedOn w:val="18"/>
    <w:qFormat/>
    <w:uiPriority w:val="0"/>
    <w:rPr>
      <w:rFonts w:hint="eastAsia" w:ascii="黑体" w:hAnsi="宋体" w:eastAsia="黑体" w:cs="黑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A671665-F730-4FD7-8F85-2177616D60E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中国大坝委员会</Company>
  <Pages>10</Pages>
  <Words>2416</Words>
  <Characters>2655</Characters>
  <Lines>8</Lines>
  <Paragraphs>2</Paragraphs>
  <TotalTime>26</TotalTime>
  <ScaleCrop>false</ScaleCrop>
  <LinksUpToDate>false</LinksUpToDate>
  <CharactersWithSpaces>2930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2021-04-08T06:59:00Z</dcterms:created>
  <dc:creator>袁玉兰</dc:creator>
  <cp:lastModifiedBy>Helen</cp:lastModifiedBy>
  <cp:lastPrinted>2022-09-15T05:33:52Z</cp:lastPrinted>
  <dcterms:modified xsi:type="dcterms:W3CDTF">2022-09-15T06:19:13Z</dcterms:modified>
  <dc:title>中国大坝委员会文件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276C0E0DDEE34E249B317358BA02AC77</vt:lpwstr>
  </property>
</Properties>
</file>