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600" w:lineRule="exact"/>
        <w:jc w:val="both"/>
        <w:rPr>
          <w:rFonts w:ascii="Times New Roman" w:hAnsi="Times New Roman" w:eastAsia="仿宋_GB2312"/>
          <w:b/>
          <w:spacing w:val="0"/>
          <w:kern w:val="2"/>
          <w:sz w:val="28"/>
          <w:szCs w:val="28"/>
        </w:rPr>
      </w:pPr>
      <w:r>
        <w:rPr>
          <w:rFonts w:hint="eastAsia" w:ascii="Times New Roman" w:hAnsi="Times New Roman" w:eastAsia="仿宋_GB2312"/>
          <w:b/>
          <w:spacing w:val="0"/>
          <w:kern w:val="2"/>
          <w:sz w:val="28"/>
          <w:szCs w:val="28"/>
        </w:rPr>
        <w:t xml:space="preserve">附件2 </w:t>
      </w:r>
    </w:p>
    <w:p>
      <w:pPr>
        <w:widowControl w:val="0"/>
        <w:adjustRightInd w:val="0"/>
        <w:spacing w:line="600" w:lineRule="exact"/>
        <w:jc w:val="center"/>
        <w:rPr>
          <w:rFonts w:hint="eastAsia" w:ascii="华文中宋" w:hAnsi="华文中宋" w:eastAsia="华文中宋"/>
          <w:b/>
          <w:spacing w:val="0"/>
          <w:kern w:val="2"/>
          <w:sz w:val="36"/>
          <w:szCs w:val="36"/>
        </w:rPr>
      </w:pPr>
      <w:r>
        <w:rPr>
          <w:rFonts w:hint="eastAsia" w:ascii="华文中宋" w:hAnsi="华文中宋" w:eastAsia="华文中宋"/>
          <w:b/>
          <w:spacing w:val="0"/>
          <w:kern w:val="2"/>
          <w:sz w:val="36"/>
          <w:szCs w:val="36"/>
        </w:rPr>
        <w:t>会议论文模板</w:t>
      </w:r>
    </w:p>
    <w:p>
      <w:pPr>
        <w:autoSpaceDE w:val="0"/>
        <w:autoSpaceDN w:val="0"/>
        <w:adjustRightInd w:val="0"/>
        <w:spacing w:before="312" w:beforeLines="100" w:after="312" w:afterLines="100"/>
        <w:jc w:val="center"/>
        <w:rPr>
          <w:rFonts w:ascii="黑体" w:eastAsia="黑体"/>
          <w:spacing w:val="20"/>
          <w:sz w:val="32"/>
          <w:szCs w:val="32"/>
        </w:rPr>
      </w:pPr>
      <w:r>
        <w:rPr>
          <w:rFonts w:hint="eastAsia" w:ascii="黑体" w:eastAsia="黑体"/>
          <w:spacing w:val="20"/>
          <w:sz w:val="32"/>
          <w:szCs w:val="32"/>
          <w:lang w:val="zh-CN"/>
        </w:rPr>
        <w:t>题目</w:t>
      </w:r>
    </w:p>
    <w:p>
      <w:pPr>
        <w:autoSpaceDE w:val="0"/>
        <w:autoSpaceDN w:val="0"/>
        <w:adjustRightInd w:val="0"/>
        <w:spacing w:before="156" w:beforeLines="50"/>
        <w:jc w:val="center"/>
        <w:rPr>
          <w:rFonts w:hint="eastAsia" w:ascii="仿宋_GB2312" w:eastAsia="仿宋_GB2312"/>
          <w:sz w:val="24"/>
          <w:vertAlign w:val="superscript"/>
        </w:rPr>
      </w:pPr>
      <w:r>
        <w:rPr>
          <w:rFonts w:hint="eastAsia" w:ascii="仿宋_GB2312" w:eastAsia="仿宋_GB2312"/>
          <w:sz w:val="24"/>
          <w:lang w:val="zh-CN"/>
        </w:rPr>
        <w:t>姓名</w:t>
      </w:r>
      <w:r>
        <w:rPr>
          <w:rFonts w:hint="eastAsia" w:ascii="仿宋_GB2312" w:eastAsia="仿宋_GB2312"/>
          <w:sz w:val="24"/>
          <w:vertAlign w:val="superscript"/>
          <w:lang w:val="zh-CN"/>
        </w:rPr>
        <w:t>1,2</w:t>
      </w:r>
      <w:r>
        <w:rPr>
          <w:rFonts w:hint="eastAsia" w:ascii="仿宋_GB2312" w:eastAsia="仿宋_GB2312"/>
          <w:sz w:val="24"/>
          <w:lang w:val="zh-CN"/>
        </w:rPr>
        <w:t>，姓名</w:t>
      </w:r>
      <w:r>
        <w:rPr>
          <w:rFonts w:hint="eastAsia" w:ascii="仿宋_GB2312" w:eastAsia="仿宋_GB2312"/>
          <w:sz w:val="24"/>
          <w:vertAlign w:val="superscript"/>
          <w:lang w:val="zh-CN"/>
        </w:rPr>
        <w:t>1,2</w:t>
      </w:r>
      <w:r>
        <w:rPr>
          <w:rFonts w:hint="eastAsia" w:ascii="仿宋_GB2312" w:eastAsia="仿宋_GB2312"/>
          <w:sz w:val="24"/>
          <w:lang w:val="zh-CN"/>
        </w:rPr>
        <w:t>，姓名</w:t>
      </w:r>
      <w:r>
        <w:rPr>
          <w:rFonts w:hint="eastAsia" w:ascii="仿宋_GB2312" w:eastAsia="仿宋_GB2312"/>
          <w:sz w:val="24"/>
          <w:vertAlign w:val="superscript"/>
          <w:lang w:val="zh-CN"/>
        </w:rPr>
        <w:t>2</w:t>
      </w:r>
    </w:p>
    <w:p>
      <w:pPr>
        <w:autoSpaceDE w:val="0"/>
        <w:autoSpaceDN w:val="0"/>
        <w:adjustRightInd w:val="0"/>
        <w:jc w:val="center"/>
        <w:rPr>
          <w:rFonts w:ascii="宋体"/>
          <w:sz w:val="15"/>
          <w:szCs w:val="15"/>
        </w:rPr>
      </w:pPr>
      <w:r>
        <w:rPr>
          <w:rFonts w:ascii="宋体"/>
          <w:sz w:val="15"/>
          <w:szCs w:val="15"/>
        </w:rPr>
        <w:t>(</w:t>
      </w:r>
      <w:r>
        <w:rPr>
          <w:rFonts w:ascii="宋体"/>
          <w:sz w:val="15"/>
          <w:szCs w:val="15"/>
          <w:lang w:val="zh-CN"/>
        </w:rPr>
        <w:t>1</w:t>
      </w:r>
      <w:r>
        <w:rPr>
          <w:rFonts w:ascii="宋体"/>
          <w:sz w:val="15"/>
          <w:szCs w:val="15"/>
        </w:rPr>
        <w:t>.</w:t>
      </w:r>
      <w:r>
        <w:rPr>
          <w:rFonts w:hint="eastAsia" w:ascii="宋体"/>
          <w:sz w:val="15"/>
          <w:szCs w:val="15"/>
          <w:lang w:val="zh-CN"/>
        </w:rPr>
        <w:t>单位，省 市 邮编；</w:t>
      </w:r>
      <w:r>
        <w:rPr>
          <w:rFonts w:ascii="宋体"/>
          <w:sz w:val="15"/>
          <w:szCs w:val="15"/>
        </w:rPr>
        <w:t xml:space="preserve"> </w:t>
      </w:r>
      <w:r>
        <w:rPr>
          <w:rFonts w:ascii="宋体"/>
          <w:sz w:val="15"/>
          <w:szCs w:val="15"/>
          <w:lang w:val="zh-CN"/>
        </w:rPr>
        <w:t>2</w:t>
      </w:r>
      <w:r>
        <w:rPr>
          <w:rFonts w:ascii="宋体"/>
          <w:sz w:val="15"/>
          <w:szCs w:val="15"/>
        </w:rPr>
        <w:t>.</w:t>
      </w:r>
      <w:r>
        <w:rPr>
          <w:rFonts w:hint="eastAsia" w:ascii="宋体"/>
          <w:sz w:val="15"/>
          <w:szCs w:val="15"/>
          <w:lang w:val="zh-CN"/>
        </w:rPr>
        <w:t xml:space="preserve"> 单位，省 市 邮编</w:t>
      </w:r>
      <w:r>
        <w:rPr>
          <w:rFonts w:ascii="宋体"/>
          <w:sz w:val="15"/>
          <w:szCs w:val="15"/>
        </w:rPr>
        <w:t>)</w:t>
      </w:r>
    </w:p>
    <w:p>
      <w:pPr>
        <w:autoSpaceDE w:val="0"/>
        <w:autoSpaceDN w:val="0"/>
        <w:adjustRightInd w:val="0"/>
        <w:ind w:left="190" w:leftChars="100" w:right="190" w:rightChars="100"/>
        <w:jc w:val="both"/>
        <w:rPr>
          <w:rFonts w:ascii="宋体"/>
          <w:sz w:val="18"/>
        </w:rPr>
      </w:pPr>
      <w:r>
        <w:rPr>
          <w:rFonts w:hint="eastAsia" w:ascii="宋体"/>
          <w:b/>
          <w:bCs/>
          <w:sz w:val="18"/>
          <w:lang w:val="zh-CN"/>
        </w:rPr>
        <w:t>摘要：</w:t>
      </w:r>
      <w:r>
        <w:rPr>
          <w:rFonts w:hint="eastAsia" w:ascii="宋体"/>
          <w:sz w:val="18"/>
          <w:lang w:val="zh-CN"/>
        </w:rPr>
        <w:t>泥沙运动特征的变化及其对港口航道的影响是大型海岸工程实施时需要考虑的主要问题。由于海岸生态系统往往对泥沙冲淤的变化非常敏感，生态评估也逐渐成为工程规划及方案可行性论证研究的重要内容。</w:t>
      </w:r>
    </w:p>
    <w:p>
      <w:pPr>
        <w:autoSpaceDE w:val="0"/>
        <w:autoSpaceDN w:val="0"/>
        <w:adjustRightInd w:val="0"/>
        <w:ind w:left="190" w:leftChars="100" w:right="190" w:rightChars="100"/>
        <w:rPr>
          <w:rFonts w:ascii="宋体"/>
          <w:sz w:val="18"/>
          <w:lang w:val="zh-CN"/>
        </w:rPr>
      </w:pPr>
      <w:r>
        <w:rPr>
          <w:rFonts w:hint="eastAsia" w:ascii="宋体"/>
          <w:b/>
          <w:bCs/>
          <w:sz w:val="18"/>
          <w:lang w:val="zh-CN"/>
        </w:rPr>
        <w:t>关键词：</w:t>
      </w:r>
      <w:r>
        <w:rPr>
          <w:rFonts w:hint="eastAsia" w:ascii="宋体"/>
          <w:sz w:val="18"/>
          <w:lang w:val="zh-CN"/>
        </w:rPr>
        <w:t>泥沙数学模型；填海工程；岸线；深圳湾</w:t>
      </w:r>
    </w:p>
    <w:p>
      <w:pPr>
        <w:autoSpaceDE w:val="0"/>
        <w:autoSpaceDN w:val="0"/>
        <w:adjustRightInd w:val="0"/>
        <w:ind w:left="190" w:leftChars="100" w:right="190" w:rightChars="100"/>
        <w:rPr>
          <w:rFonts w:ascii="宋体"/>
          <w:sz w:val="18"/>
        </w:rPr>
      </w:pPr>
      <w:r>
        <w:rPr>
          <w:rFonts w:hint="eastAsia" w:ascii="宋体"/>
          <w:b/>
          <w:bCs/>
          <w:sz w:val="18"/>
          <w:lang w:val="zh-CN"/>
        </w:rPr>
        <w:t>中图分类号：</w:t>
      </w:r>
      <w:r>
        <w:rPr>
          <w:rFonts w:hint="eastAsia" w:ascii="宋体"/>
          <w:sz w:val="18"/>
          <w:lang w:val="zh-CN"/>
        </w:rPr>
        <w:t xml:space="preserve">   </w:t>
      </w:r>
      <w:r>
        <w:rPr>
          <w:rFonts w:ascii="宋体"/>
          <w:sz w:val="18"/>
        </w:rPr>
        <w:t xml:space="preserve">  </w:t>
      </w:r>
      <w:r>
        <w:rPr>
          <w:rFonts w:hint="eastAsia" w:ascii="宋体"/>
          <w:sz w:val="18"/>
        </w:rPr>
        <w:t xml:space="preserve">                     </w:t>
      </w:r>
      <w:r>
        <w:rPr>
          <w:rFonts w:ascii="宋体"/>
          <w:sz w:val="18"/>
        </w:rPr>
        <w:t xml:space="preserve">  </w:t>
      </w:r>
      <w:r>
        <w:rPr>
          <w:rFonts w:hint="eastAsia" w:ascii="宋体"/>
          <w:b/>
          <w:bCs/>
          <w:sz w:val="18"/>
          <w:lang w:val="zh-CN"/>
        </w:rPr>
        <w:t>文献标识码：</w:t>
      </w:r>
      <w:r>
        <w:rPr>
          <w:rFonts w:ascii="宋体"/>
          <w:sz w:val="18"/>
          <w:lang w:val="zh-CN"/>
        </w:rPr>
        <w:t>A</w:t>
      </w:r>
      <w:r>
        <w:rPr>
          <w:rFonts w:ascii="宋体"/>
          <w:sz w:val="18"/>
        </w:rPr>
        <w:t xml:space="preserve">    </w:t>
      </w:r>
    </w:p>
    <w:p>
      <w:pPr>
        <w:autoSpaceDE w:val="0"/>
        <w:autoSpaceDN w:val="0"/>
        <w:adjustRightInd w:val="0"/>
        <w:spacing w:before="312" w:beforeLines="100" w:after="312" w:afterLines="100"/>
        <w:rPr>
          <w:rFonts w:ascii="宋体"/>
        </w:rPr>
      </w:pPr>
      <w:r>
        <w:rPr>
          <w:rFonts w:ascii="宋体"/>
          <w:sz w:val="24"/>
          <w:lang w:val="zh-CN"/>
        </w:rPr>
        <w:t>1</w:t>
      </w:r>
      <w:r>
        <w:rPr>
          <w:rFonts w:ascii="宋体"/>
          <w:sz w:val="24"/>
        </w:rPr>
        <w:t xml:space="preserve"> </w:t>
      </w:r>
      <w:r>
        <w:rPr>
          <w:rFonts w:hint="eastAsia" w:ascii="宋体"/>
          <w:sz w:val="24"/>
          <w:lang w:val="zh-CN"/>
        </w:rPr>
        <w:t>研究背景</w:t>
      </w:r>
    </w:p>
    <w:p>
      <w:pPr>
        <w:autoSpaceDE w:val="0"/>
        <w:autoSpaceDN w:val="0"/>
        <w:adjustRightInd w:val="0"/>
        <w:ind w:firstLine="380" w:firstLineChars="200"/>
        <w:jc w:val="both"/>
        <w:rPr>
          <w:rFonts w:ascii="宋体" w:hAnsi="宋体"/>
        </w:rPr>
      </w:pPr>
      <w:r>
        <w:rPr>
          <w:rFonts w:hint="eastAsia" w:ascii="宋体" w:hAnsi="宋体"/>
          <w:lang w:val="zh-CN"/>
        </w:rPr>
        <w:t>填海对当地或周边地区潮波特性的影响，已经在许多填海工程的岸线确定中得到充分重视</w:t>
      </w:r>
      <w:r>
        <w:rPr>
          <w:rFonts w:hint="eastAsia" w:ascii="宋体" w:hAnsi="宋体"/>
          <w:vertAlign w:val="superscript"/>
          <w:lang w:val="zh-CN"/>
        </w:rPr>
        <w:t>［</w:t>
      </w:r>
      <w:r>
        <w:rPr>
          <w:rFonts w:ascii="宋体" w:hAnsi="宋体"/>
          <w:vertAlign w:val="superscript"/>
          <w:lang w:val="zh-CN"/>
        </w:rPr>
        <w:t>1</w:t>
      </w:r>
      <w:r>
        <w:rPr>
          <w:rFonts w:hint="eastAsia" w:ascii="宋体" w:hAnsi="宋体"/>
          <w:vertAlign w:val="superscript"/>
          <w:lang w:val="zh-CN"/>
        </w:rPr>
        <w:t>］</w:t>
      </w:r>
      <w:r>
        <w:rPr>
          <w:rFonts w:hint="eastAsia" w:ascii="宋体" w:hAnsi="宋体"/>
          <w:lang w:val="zh-CN"/>
        </w:rPr>
        <w:t>。近年来，填海工程造成的区域泥沙运动特征的改变以及对港口、航道和海岸生态系统的影响也愈来愈受到广泛的关注。</w:t>
      </w:r>
    </w:p>
    <w:p>
      <w:pPr>
        <w:autoSpaceDE w:val="0"/>
        <w:autoSpaceDN w:val="0"/>
        <w:adjustRightInd w:val="0"/>
        <w:spacing w:before="312" w:beforeLines="100" w:after="312" w:afterLines="100"/>
        <w:rPr>
          <w:rFonts w:ascii="宋体" w:hAnsi="宋体"/>
          <w:sz w:val="24"/>
        </w:rPr>
      </w:pPr>
      <w:r>
        <w:rPr>
          <w:rFonts w:ascii="宋体" w:hAnsi="宋体"/>
          <w:sz w:val="24"/>
          <w:lang w:val="zh-CN"/>
        </w:rPr>
        <w:t>2</w:t>
      </w:r>
      <w:r>
        <w:rPr>
          <w:rFonts w:ascii="宋体" w:hAnsi="宋体"/>
          <w:sz w:val="24"/>
        </w:rPr>
        <w:t xml:space="preserve"> </w:t>
      </w:r>
      <w:r>
        <w:rPr>
          <w:rFonts w:hint="eastAsia" w:ascii="宋体" w:hAnsi="宋体"/>
          <w:sz w:val="24"/>
          <w:lang w:val="zh-CN"/>
        </w:rPr>
        <w:t>研究区域概况</w:t>
      </w:r>
    </w:p>
    <w:p>
      <w:pPr>
        <w:autoSpaceDE w:val="0"/>
        <w:autoSpaceDN w:val="0"/>
        <w:adjustRightInd w:val="0"/>
        <w:ind w:firstLine="380" w:firstLineChars="200"/>
        <w:jc w:val="both"/>
        <w:rPr>
          <w:rFonts w:hint="eastAsia" w:ascii="宋体"/>
          <w:sz w:val="15"/>
          <w:lang w:val="zh-CN"/>
        </w:rPr>
      </w:pPr>
      <w:r>
        <w:rPr>
          <w:rFonts w:ascii="宋体" w:hAnsi="宋体"/>
        </w:rPr>
        <mc:AlternateContent>
          <mc:Choice Requires="wps">
            <w:drawing>
              <wp:anchor distT="0" distB="0" distL="114300" distR="114300" simplePos="0" relativeHeight="251665408" behindDoc="0" locked="0" layoutInCell="1" allowOverlap="1">
                <wp:simplePos x="0" y="0"/>
                <wp:positionH relativeFrom="column">
                  <wp:posOffset>2841625</wp:posOffset>
                </wp:positionH>
                <wp:positionV relativeFrom="paragraph">
                  <wp:posOffset>260350</wp:posOffset>
                </wp:positionV>
                <wp:extent cx="3088005" cy="2714625"/>
                <wp:effectExtent l="4445" t="5080" r="12700" b="4445"/>
                <wp:wrapSquare wrapText="bothSides"/>
                <wp:docPr id="2" name="文本框 2"/>
                <wp:cNvGraphicFramePr/>
                <a:graphic xmlns:a="http://schemas.openxmlformats.org/drawingml/2006/main">
                  <a:graphicData uri="http://schemas.microsoft.com/office/word/2010/wordprocessingShape">
                    <wps:wsp>
                      <wps:cNvSpPr txBox="1"/>
                      <wps:spPr>
                        <a:xfrm>
                          <a:off x="0" y="0"/>
                          <a:ext cx="3088005" cy="2714625"/>
                        </a:xfrm>
                        <a:prstGeom prst="rect">
                          <a:avLst/>
                        </a:prstGeom>
                        <a:solidFill>
                          <a:srgbClr val="FFFFFF"/>
                        </a:solidFill>
                        <a:ln w="0" cap="flat" cmpd="sng">
                          <a:solidFill>
                            <a:srgbClr val="FFFFFF"/>
                          </a:solidFill>
                          <a:prstDash val="solid"/>
                          <a:miter/>
                          <a:headEnd type="none" w="med" len="med"/>
                          <a:tailEnd type="none" w="med" len="med"/>
                        </a:ln>
                      </wps:spPr>
                      <wps:txbx>
                        <w:txbxContent>
                          <w:p>
                            <w:pPr>
                              <w:keepNext/>
                            </w:pPr>
                            <w:r>
                              <w:drawing>
                                <wp:inline distT="0" distB="0" distL="114300" distR="114300">
                                  <wp:extent cx="2903855" cy="2290445"/>
                                  <wp:effectExtent l="0" t="0" r="10795" b="14605"/>
                                  <wp:docPr id="1" name="图片 1" descr="t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9-1"/>
                                          <pic:cNvPicPr>
                                            <a:picLocks noChangeAspect="1"/>
                                          </pic:cNvPicPr>
                                        </pic:nvPicPr>
                                        <pic:blipFill>
                                          <a:blip r:embed="rId5"/>
                                          <a:stretch>
                                            <a:fillRect/>
                                          </a:stretch>
                                        </pic:blipFill>
                                        <pic:spPr>
                                          <a:xfrm>
                                            <a:off x="0" y="0"/>
                                            <a:ext cx="2903855" cy="2290445"/>
                                          </a:xfrm>
                                          <a:prstGeom prst="rect">
                                            <a:avLst/>
                                          </a:prstGeom>
                                          <a:noFill/>
                                          <a:ln>
                                            <a:noFill/>
                                          </a:ln>
                                        </pic:spPr>
                                      </pic:pic>
                                    </a:graphicData>
                                  </a:graphic>
                                </wp:inline>
                              </w:drawing>
                            </w:r>
                          </w:p>
                          <w:p>
                            <w:pPr>
                              <w:pStyle w:val="3"/>
                              <w:spacing w:before="0" w:after="0"/>
                              <w:jc w:val="center"/>
                              <w:rPr>
                                <w:rFonts w:ascii="宋体" w:hAnsi="宋体" w:eastAsia="宋体"/>
                                <w:kern w:val="0"/>
                                <w:sz w:val="15"/>
                              </w:rPr>
                            </w:pPr>
                            <w:r>
                              <w:rPr>
                                <w:rFonts w:hint="eastAsia" w:ascii="宋体" w:hAnsi="宋体" w:eastAsia="宋体"/>
                                <w:kern w:val="0"/>
                                <w:sz w:val="15"/>
                                <w:lang w:val="zh-CN"/>
                              </w:rPr>
                              <w:t>图</w:t>
                            </w:r>
                            <w:r>
                              <w:rPr>
                                <w:rFonts w:ascii="宋体" w:hAnsi="宋体" w:eastAsia="宋体"/>
                                <w:kern w:val="0"/>
                                <w:sz w:val="15"/>
                                <w:lang w:val="zh-CN"/>
                              </w:rPr>
                              <w:t>1</w:t>
                            </w:r>
                            <w:r>
                              <w:rPr>
                                <w:rFonts w:hint="eastAsia" w:ascii="宋体" w:hAnsi="宋体" w:eastAsia="宋体"/>
                                <w:kern w:val="0"/>
                                <w:sz w:val="15"/>
                                <w:lang w:val="zh-CN"/>
                              </w:rPr>
                              <w:t>深圳湾填海方案示意</w:t>
                            </w:r>
                          </w:p>
                          <w:p/>
                        </w:txbxContent>
                      </wps:txbx>
                      <wps:bodyPr upright="1"/>
                    </wps:wsp>
                  </a:graphicData>
                </a:graphic>
              </wp:anchor>
            </w:drawing>
          </mc:Choice>
          <mc:Fallback>
            <w:pict>
              <v:shape id="_x0000_s1026" o:spid="_x0000_s1026" o:spt="202" type="#_x0000_t202" style="position:absolute;left:0pt;margin-left:223.75pt;margin-top:20.5pt;height:213.75pt;width:243.15pt;mso-wrap-distance-bottom:0pt;mso-wrap-distance-left:9pt;mso-wrap-distance-right:9pt;mso-wrap-distance-top:0pt;z-index:251665408;mso-width-relative:page;mso-height-relative:page;" fillcolor="#FFFFFF" filled="t" stroked="t" coordsize="21600,21600" o:gfxdata="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6&#10;o8eG2gAAAAoBAAAPAAAAAAAAAAEAIAAAACIAAABkcnMvZG93bnJldi54bWxQSwECFAAUAAAACACH&#10;TuJAEIce2ukBAADmAwAADgAAAAAAAAABACAAAAApAQAAZHJzL2Uyb0RvYy54bWxQSwUGAAAAAAYA&#10;BgBZAQAAhAUAAAAA&#10;">
                <v:fill on="t" focussize="0,0"/>
                <v:stroke weight="0pt" color="#FFFFFF" joinstyle="miter"/>
                <v:imagedata o:title=""/>
                <o:lock v:ext="edit" aspectratio="f"/>
                <v:textbox>
                  <w:txbxContent>
                    <w:p>
                      <w:pPr>
                        <w:keepNext/>
                      </w:pPr>
                      <w:r>
                        <w:drawing>
                          <wp:inline distT="0" distB="0" distL="114300" distR="114300">
                            <wp:extent cx="2903855" cy="2290445"/>
                            <wp:effectExtent l="0" t="0" r="10795" b="14605"/>
                            <wp:docPr id="1" name="图片 1" descr="t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9-1"/>
                                    <pic:cNvPicPr>
                                      <a:picLocks noChangeAspect="1"/>
                                    </pic:cNvPicPr>
                                  </pic:nvPicPr>
                                  <pic:blipFill>
                                    <a:blip r:embed="rId5"/>
                                    <a:stretch>
                                      <a:fillRect/>
                                    </a:stretch>
                                  </pic:blipFill>
                                  <pic:spPr>
                                    <a:xfrm>
                                      <a:off x="0" y="0"/>
                                      <a:ext cx="2903855" cy="2290445"/>
                                    </a:xfrm>
                                    <a:prstGeom prst="rect">
                                      <a:avLst/>
                                    </a:prstGeom>
                                    <a:noFill/>
                                    <a:ln>
                                      <a:noFill/>
                                    </a:ln>
                                  </pic:spPr>
                                </pic:pic>
                              </a:graphicData>
                            </a:graphic>
                          </wp:inline>
                        </w:drawing>
                      </w:r>
                    </w:p>
                    <w:p>
                      <w:pPr>
                        <w:pStyle w:val="3"/>
                        <w:spacing w:before="0" w:after="0"/>
                        <w:jc w:val="center"/>
                        <w:rPr>
                          <w:rFonts w:ascii="宋体" w:hAnsi="宋体" w:eastAsia="宋体"/>
                          <w:kern w:val="0"/>
                          <w:sz w:val="15"/>
                        </w:rPr>
                      </w:pPr>
                      <w:r>
                        <w:rPr>
                          <w:rFonts w:hint="eastAsia" w:ascii="宋体" w:hAnsi="宋体" w:eastAsia="宋体"/>
                          <w:kern w:val="0"/>
                          <w:sz w:val="15"/>
                          <w:lang w:val="zh-CN"/>
                        </w:rPr>
                        <w:t>图</w:t>
                      </w:r>
                      <w:r>
                        <w:rPr>
                          <w:rFonts w:ascii="宋体" w:hAnsi="宋体" w:eastAsia="宋体"/>
                          <w:kern w:val="0"/>
                          <w:sz w:val="15"/>
                          <w:lang w:val="zh-CN"/>
                        </w:rPr>
                        <w:t>1</w:t>
                      </w:r>
                      <w:r>
                        <w:rPr>
                          <w:rFonts w:hint="eastAsia" w:ascii="宋体" w:hAnsi="宋体" w:eastAsia="宋体"/>
                          <w:kern w:val="0"/>
                          <w:sz w:val="15"/>
                          <w:lang w:val="zh-CN"/>
                        </w:rPr>
                        <w:t>深圳湾填海方案示意</w:t>
                      </w:r>
                    </w:p>
                    <w:p/>
                  </w:txbxContent>
                </v:textbox>
                <w10:wrap type="square"/>
              </v:shape>
            </w:pict>
          </mc:Fallback>
        </mc:AlternateContent>
      </w:r>
      <w:r>
        <w:rPr>
          <w:rFonts w:hint="eastAsia" w:ascii="宋体" w:hAnsi="宋体"/>
          <w:lang w:val="zh-CN"/>
        </w:rPr>
        <w:t>深圳湾是深圳和香港的交界水域，为珠江口东岸的一个半封闭型浅水湾</w:t>
      </w:r>
      <w:r>
        <w:rPr>
          <w:rFonts w:ascii="宋体" w:hAnsi="宋体"/>
        </w:rPr>
        <w:t>(</w:t>
      </w:r>
      <w:r>
        <w:rPr>
          <w:rFonts w:hint="eastAsia" w:ascii="宋体" w:hAnsi="宋体"/>
          <w:lang w:val="zh-CN"/>
        </w:rPr>
        <w:t>如图</w:t>
      </w:r>
      <w:r>
        <w:rPr>
          <w:rFonts w:ascii="宋体" w:hAnsi="宋体"/>
          <w:lang w:val="zh-CN"/>
        </w:rPr>
        <w:t>1</w:t>
      </w:r>
      <w:r>
        <w:rPr>
          <w:rFonts w:ascii="宋体" w:hAnsi="宋体"/>
        </w:rPr>
        <w:t>)</w:t>
      </w:r>
      <w:r>
        <w:rPr>
          <w:rFonts w:hint="eastAsia" w:ascii="宋体" w:hAnsi="宋体"/>
          <w:lang w:val="zh-CN"/>
        </w:rPr>
        <w:t>，面积约为</w:t>
      </w:r>
      <w:r>
        <w:rPr>
          <w:rFonts w:ascii="宋体" w:hAnsi="宋体"/>
          <w:lang w:val="zh-CN"/>
        </w:rPr>
        <w:t>90km</w:t>
      </w:r>
      <w:r>
        <w:rPr>
          <w:rFonts w:ascii="宋体" w:hAnsi="宋体"/>
          <w:vertAlign w:val="superscript"/>
          <w:lang w:val="zh-CN"/>
        </w:rPr>
        <w:t>2</w:t>
      </w:r>
      <w:r>
        <w:rPr>
          <w:rFonts w:hint="eastAsia" w:ascii="宋体" w:hAnsi="宋体"/>
          <w:lang w:val="zh-CN"/>
        </w:rPr>
        <w:t>，平均水深</w:t>
      </w:r>
      <w:r>
        <w:rPr>
          <w:rFonts w:ascii="宋体" w:hAnsi="宋体"/>
          <w:lang w:val="zh-CN"/>
        </w:rPr>
        <w:t>2</w:t>
      </w:r>
      <w:r>
        <w:rPr>
          <w:rFonts w:ascii="宋体" w:hAnsi="宋体"/>
        </w:rPr>
        <w:t>.</w:t>
      </w:r>
      <w:r>
        <w:rPr>
          <w:rFonts w:ascii="宋体" w:hAnsi="宋体"/>
          <w:lang w:val="zh-CN"/>
        </w:rPr>
        <w:t>9m</w:t>
      </w:r>
      <w:r>
        <w:rPr>
          <w:rFonts w:hint="eastAsia" w:ascii="宋体" w:hAnsi="宋体"/>
          <w:lang w:val="zh-CN"/>
        </w:rPr>
        <w:t>。注入深圳湾的河流中，深圳河是最大的河流。</w:t>
      </w:r>
    </w:p>
    <w:p>
      <w:pPr>
        <w:autoSpaceDE w:val="0"/>
        <w:autoSpaceDN w:val="0"/>
        <w:adjustRightInd w:val="0"/>
        <w:ind w:firstLine="380" w:firstLineChars="200"/>
        <w:jc w:val="both"/>
        <w:rPr>
          <w:rFonts w:hint="eastAsia" w:ascii="宋体" w:hAnsi="宋体"/>
          <w:lang w:val="zh-CN"/>
        </w:rPr>
      </w:pPr>
      <w:r>
        <w:rPr>
          <w:rFonts w:hint="eastAsia" w:ascii="宋体" w:hAnsi="宋体"/>
          <w:lang w:val="zh-CN"/>
        </w:rPr>
        <w:t>计划在深圳湾北岸进行的大规模填海造地工程，不可避免地会改变泥沙的运动规律，并对港口、航道和自然保护区造成影响。为减少填海对港口、航道的负面影响和避免生态环境恶化，有必要对深圳湾的填海工程的设计方案进行全面规划和综合论证。拟议中的深圳湾北岸填海工程岸线方案共有五种</w:t>
      </w:r>
      <w:r>
        <w:rPr>
          <w:rFonts w:ascii="宋体" w:hAnsi="宋体"/>
        </w:rPr>
        <w:t>(</w:t>
      </w:r>
      <w:r>
        <w:rPr>
          <w:rFonts w:hint="eastAsia" w:ascii="宋体" w:hAnsi="宋体"/>
          <w:lang w:val="zh-CN"/>
        </w:rPr>
        <w:t>见图</w:t>
      </w:r>
      <w:r>
        <w:rPr>
          <w:rFonts w:ascii="宋体" w:hAnsi="宋体"/>
          <w:lang w:val="zh-CN"/>
        </w:rPr>
        <w:t>1</w:t>
      </w:r>
      <w:r>
        <w:rPr>
          <w:rFonts w:ascii="宋体" w:hAnsi="宋体"/>
        </w:rPr>
        <w:t>)</w:t>
      </w:r>
      <w:r>
        <w:rPr>
          <w:rFonts w:hint="eastAsia" w:ascii="宋体" w:hAnsi="宋体"/>
        </w:rPr>
        <w:t>。</w:t>
      </w:r>
    </w:p>
    <w:p>
      <w:pPr>
        <w:autoSpaceDE w:val="0"/>
        <w:autoSpaceDN w:val="0"/>
        <w:adjustRightInd w:val="0"/>
        <w:spacing w:before="312" w:beforeLines="100" w:after="312" w:afterLines="100"/>
        <w:rPr>
          <w:rFonts w:ascii="宋体" w:hAnsi="宋体"/>
        </w:rPr>
      </w:pPr>
      <w:r>
        <w:rPr>
          <w:rFonts w:ascii="宋体" w:hAnsi="宋体"/>
          <w:sz w:val="24"/>
        </w:rPr>
        <w:t xml:space="preserve">3 </w:t>
      </w:r>
      <w:r>
        <w:rPr>
          <w:rFonts w:hint="eastAsia" w:ascii="宋体" w:hAnsi="宋体"/>
          <w:sz w:val="24"/>
          <w:lang w:val="zh-CN"/>
        </w:rPr>
        <w:t>泥沙模型</w:t>
      </w:r>
      <w:r>
        <w:rPr>
          <w:rFonts w:ascii="宋体" w:hAnsi="宋体"/>
        </w:rPr>
        <w:t xml:space="preserve"> </w:t>
      </w:r>
    </w:p>
    <w:p>
      <w:pPr>
        <w:autoSpaceDE w:val="0"/>
        <w:autoSpaceDN w:val="0"/>
        <w:adjustRightInd w:val="0"/>
        <w:jc w:val="both"/>
        <w:rPr>
          <w:rFonts w:hint="eastAsia" w:ascii="宋体" w:hAnsi="宋体"/>
          <w:lang w:val="zh-CN"/>
        </w:rPr>
      </w:pPr>
      <w:r>
        <w:rPr>
          <w:rFonts w:ascii="黑体" w:hAnsi="宋体" w:eastAsia="黑体"/>
        </w:rPr>
        <w:t xml:space="preserve">3.1 </w:t>
      </w:r>
      <w:r>
        <w:rPr>
          <w:rFonts w:hint="eastAsia" w:ascii="黑体" w:hAnsi="宋体" w:eastAsia="黑体"/>
          <w:lang w:val="zh-CN"/>
        </w:rPr>
        <w:t>基本方程</w:t>
      </w:r>
      <w:r>
        <w:rPr>
          <w:rFonts w:hint="eastAsia" w:ascii="黑体" w:hAnsi="宋体" w:eastAsia="黑体"/>
          <w:b/>
          <w:bCs/>
          <w:lang w:val="zh-CN"/>
        </w:rPr>
        <w:t xml:space="preserve">  </w:t>
      </w:r>
      <w:r>
        <w:rPr>
          <w:rFonts w:hint="eastAsia" w:ascii="宋体" w:hAnsi="宋体"/>
          <w:lang w:val="zh-CN"/>
        </w:rPr>
        <w:t>根据实测资料</w:t>
      </w:r>
      <w:r>
        <w:rPr>
          <w:rFonts w:hint="eastAsia" w:ascii="宋体" w:hAnsi="宋体"/>
          <w:vertAlign w:val="superscript"/>
        </w:rPr>
        <w:t>［</w:t>
      </w:r>
      <w:r>
        <w:rPr>
          <w:rFonts w:ascii="宋体" w:hAnsi="宋体"/>
          <w:vertAlign w:val="superscript"/>
        </w:rPr>
        <w:t>7</w:t>
      </w:r>
      <w:r>
        <w:rPr>
          <w:rFonts w:hint="eastAsia" w:ascii="宋体" w:hAnsi="宋体"/>
          <w:vertAlign w:val="superscript"/>
        </w:rPr>
        <w:t>］</w:t>
      </w:r>
      <w:r>
        <w:rPr>
          <w:rFonts w:hint="eastAsia" w:ascii="宋体" w:hAnsi="宋体"/>
          <w:lang w:val="zh-CN"/>
        </w:rPr>
        <w:t>分析</w:t>
      </w:r>
      <w:r>
        <w:rPr>
          <w:rFonts w:hint="eastAsia" w:ascii="宋体" w:hAnsi="宋体"/>
        </w:rPr>
        <w:t>，</w:t>
      </w:r>
      <w:r>
        <w:rPr>
          <w:rFonts w:hint="eastAsia" w:ascii="宋体" w:hAnsi="宋体"/>
          <w:lang w:val="zh-CN"/>
        </w:rPr>
        <w:t>冬季深圳湾各测站实测平均含沙量在</w:t>
      </w:r>
      <w:r>
        <w:rPr>
          <w:rFonts w:ascii="宋体" w:hAnsi="宋体"/>
        </w:rPr>
        <w:t>0.0073</w:t>
      </w:r>
      <w:r>
        <w:rPr>
          <w:rFonts w:hint="eastAsia" w:ascii="宋体" w:hAnsi="宋体"/>
          <w:lang w:val="zh-CN"/>
        </w:rPr>
        <w:t>～</w:t>
      </w:r>
      <w:r>
        <w:rPr>
          <w:rFonts w:ascii="宋体" w:hAnsi="宋体"/>
        </w:rPr>
        <w:t>0.205kg/m</w:t>
      </w:r>
      <w:r>
        <w:rPr>
          <w:rFonts w:ascii="宋体" w:hAnsi="宋体"/>
          <w:vertAlign w:val="superscript"/>
        </w:rPr>
        <w:t>3</w:t>
      </w:r>
      <w:r>
        <w:rPr>
          <w:rFonts w:hint="eastAsia" w:ascii="宋体" w:hAnsi="宋体"/>
          <w:lang w:val="zh-CN"/>
        </w:rPr>
        <w:t>之间</w:t>
      </w:r>
      <w:r>
        <w:rPr>
          <w:rFonts w:hint="eastAsia" w:ascii="宋体" w:hAnsi="宋体"/>
        </w:rPr>
        <w:t>，</w:t>
      </w:r>
      <w:r>
        <w:rPr>
          <w:rFonts w:hint="eastAsia" w:ascii="宋体" w:hAnsi="宋体"/>
          <w:lang w:val="zh-CN"/>
        </w:rPr>
        <w:t>而夏季在</w:t>
      </w:r>
      <w:r>
        <w:rPr>
          <w:rFonts w:ascii="宋体" w:hAnsi="宋体"/>
        </w:rPr>
        <w:t>0.0137</w:t>
      </w:r>
      <w:r>
        <w:rPr>
          <w:rFonts w:hint="eastAsia" w:ascii="宋体" w:hAnsi="宋体"/>
          <w:lang w:val="zh-CN"/>
        </w:rPr>
        <w:t>～</w:t>
      </w:r>
      <w:r>
        <w:rPr>
          <w:rFonts w:ascii="宋体" w:hAnsi="宋体"/>
        </w:rPr>
        <w:t>0.2385kg/m</w:t>
      </w:r>
      <w:r>
        <w:rPr>
          <w:rFonts w:ascii="宋体" w:hAnsi="宋体"/>
          <w:vertAlign w:val="superscript"/>
        </w:rPr>
        <w:t>3</w:t>
      </w:r>
      <w:r>
        <w:rPr>
          <w:rFonts w:hint="eastAsia" w:ascii="宋体" w:hAnsi="宋体"/>
          <w:lang w:val="zh-CN"/>
        </w:rPr>
        <w:t>之间。由于深圳湾水体中含沙量不高，泥沙对水流的影响极小，泥沙数学模型与水动力学模型可以采用非耦合的方式求解。</w:t>
      </w:r>
    </w:p>
    <w:p>
      <w:pPr>
        <w:autoSpaceDE w:val="0"/>
        <w:autoSpaceDN w:val="0"/>
        <w:adjustRightInd w:val="0"/>
        <w:rPr>
          <w:rFonts w:hint="eastAsia" w:ascii="宋体" w:hAnsi="宋体"/>
          <w:lang w:val="zh-CN"/>
        </w:rPr>
      </w:pPr>
    </w:p>
    <w:p>
      <w:pPr>
        <w:autoSpaceDE w:val="0"/>
        <w:autoSpaceDN w:val="0"/>
        <w:adjustRightInd w:val="0"/>
        <w:rPr>
          <w:rFonts w:hint="eastAsia" w:ascii="宋体" w:hAnsi="宋体"/>
        </w:rPr>
      </w:pPr>
    </w:p>
    <w:p>
      <w:pPr>
        <w:autoSpaceDE w:val="0"/>
        <w:autoSpaceDN w:val="0"/>
        <w:adjustRightInd w:val="0"/>
        <w:ind w:left="380" w:leftChars="200" w:right="380" w:rightChars="200"/>
        <w:rPr>
          <w:rFonts w:hint="eastAsia" w:ascii="宋体"/>
          <w:sz w:val="15"/>
          <w:lang w:val="zh-CN"/>
        </w:rPr>
      </w:pPr>
      <w:r>
        <w:rPr>
          <w:rFonts w:ascii="宋体" w:hAnsi="宋体"/>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80022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1800225" cy="0"/>
                        </a:xfrm>
                        <a:prstGeom prst="line">
                          <a:avLst/>
                        </a:prstGeom>
                        <a:ln w="0" cap="flat" cmpd="sng">
                          <a:solidFill>
                            <a:srgbClr val="33333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141.75pt;z-index:251664384;mso-width-relative:page;mso-height-relative:page;" filled="f" stroked="t" coordsize="21600,21600" o:gfxdata="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Cmv7DPAAAAAgEAAA8AAAAAAAAAAQAgAAAAIgAA&#10;AGRycy9kb3ducmV2LnhtbFBLAQIUABQAAAAIAIdO4kCM4hIT2AEAAJMDAAAOAAAAAAAAAAEAIAAA&#10;AB4BAABkcnMvZTJvRG9jLnhtbFBLBQYAAAAABgAGAFkBAABoBQAAAAA=&#10;">
                <v:fill on="f" focussize="0,0"/>
                <v:stroke weight="0pt" color="#333333" joinstyle="round"/>
                <v:imagedata o:title=""/>
                <o:lock v:ext="edit" aspectratio="f"/>
              </v:line>
            </w:pict>
          </mc:Fallback>
        </mc:AlternateContent>
      </w:r>
      <w:r>
        <w:rPr>
          <w:rFonts w:hint="eastAsia" w:ascii="宋体"/>
          <w:sz w:val="15"/>
          <w:lang w:val="zh-CN"/>
        </w:rPr>
        <w:t>收稿日期</w:t>
      </w:r>
      <w:r>
        <w:rPr>
          <w:rFonts w:hint="eastAsia" w:ascii="宋体"/>
          <w:sz w:val="15"/>
        </w:rPr>
        <w:t xml:space="preserve">： </w:t>
      </w:r>
      <w:r>
        <w:rPr>
          <w:rFonts w:ascii="宋体"/>
          <w:sz w:val="15"/>
          <w:lang w:val="zh-CN"/>
        </w:rPr>
        <w:br w:type="textWrapping"/>
      </w:r>
      <w:r>
        <w:rPr>
          <w:rFonts w:hint="eastAsia" w:ascii="宋体"/>
          <w:sz w:val="15"/>
          <w:lang w:val="zh-CN"/>
        </w:rPr>
        <w:t>基金项目：项目名称（项目号）</w:t>
      </w:r>
      <w:r>
        <w:rPr>
          <w:rFonts w:ascii="宋体"/>
          <w:sz w:val="15"/>
          <w:lang w:val="zh-CN"/>
        </w:rPr>
        <w:t xml:space="preserve"> </w:t>
      </w:r>
      <w:r>
        <w:rPr>
          <w:rFonts w:hint="eastAsia" w:ascii="宋体"/>
          <w:sz w:val="15"/>
          <w:lang w:val="zh-CN"/>
        </w:rPr>
        <w:t>；项目名称（项目号）</w:t>
      </w:r>
    </w:p>
    <w:p>
      <w:pPr>
        <w:autoSpaceDE w:val="0"/>
        <w:autoSpaceDN w:val="0"/>
        <w:adjustRightInd w:val="0"/>
        <w:ind w:left="380" w:leftChars="200"/>
        <w:rPr>
          <w:rFonts w:hint="eastAsia" w:ascii="宋体"/>
          <w:sz w:val="15"/>
          <w:lang w:val="zh-CN"/>
        </w:rPr>
      </w:pPr>
      <w:r>
        <w:rPr>
          <w:rFonts w:hint="eastAsia" w:ascii="宋体"/>
          <w:sz w:val="15"/>
          <w:lang w:val="zh-CN"/>
        </w:rPr>
        <w:t>作者简介：第一作者姓名（</w:t>
      </w:r>
      <w:r>
        <w:rPr>
          <w:rFonts w:ascii="宋体"/>
          <w:sz w:val="15"/>
          <w:lang w:val="zh-CN"/>
        </w:rPr>
        <w:t>1973-</w:t>
      </w:r>
      <w:r>
        <w:rPr>
          <w:rFonts w:hint="eastAsia" w:ascii="宋体"/>
          <w:sz w:val="15"/>
          <w:lang w:val="zh-CN"/>
        </w:rPr>
        <w:t>），男，籍贯，职称，博士生，主要从事水文水资源工作。E_mail:1@2.net</w:t>
      </w:r>
    </w:p>
    <w:p>
      <w:pPr>
        <w:autoSpaceDE w:val="0"/>
        <w:autoSpaceDN w:val="0"/>
        <w:adjustRightInd w:val="0"/>
        <w:ind w:firstLine="340" w:firstLineChars="200"/>
        <w:rPr>
          <w:rFonts w:ascii="宋体" w:hAnsi="宋体"/>
          <w:vertAlign w:val="superscript"/>
        </w:rPr>
      </w:pPr>
      <w:r>
        <w:rPr>
          <w:rFonts w:ascii="宋体" w:hAnsi="宋体"/>
          <w:sz w:val="18"/>
          <w:lang w:val="zh-CN"/>
        </w:rPr>
        <w:t xml:space="preserve"> </w:t>
      </w:r>
      <w:r>
        <w:rPr>
          <w:position w:val="-30"/>
        </w:rPr>
        <w:object>
          <v:shape id="_x0000_i1025" o:spt="75" type="#_x0000_t75" style="height:36pt;width:296pt;" o:ole="t" filled="f" o:preferrelative="t" stroked="f" coordsize="21600,21600">
            <v:path/>
            <v:fill on="f" alignshape="1" focussize="0,0"/>
            <v:stroke on="f"/>
            <v:imagedata r:id="rId7" grayscale="f" bilevel="f" o:title=""/>
            <o:lock v:ext="edit" aspectratio="t"/>
            <w10:wrap type="none"/>
            <w10:anchorlock/>
          </v:shape>
          <o:OLEObject Type="Embed" ProgID="Equation.3" ShapeID="_x0000_i1025" DrawAspect="Content" ObjectID="_1468075725" r:id="rId6">
            <o:LockedField>false</o:LockedField>
          </o:OLEObject>
        </w:object>
      </w:r>
      <w:r>
        <w:t xml:space="preserve">  </w:t>
      </w:r>
      <w:r>
        <w:rPr>
          <w:rFonts w:hint="eastAsia"/>
        </w:rPr>
        <w:t xml:space="preserve">          </w:t>
      </w:r>
      <w:r>
        <w:t xml:space="preserve">     (1)</w:t>
      </w:r>
    </w:p>
    <w:p>
      <w:pPr>
        <w:autoSpaceDE w:val="0"/>
        <w:autoSpaceDN w:val="0"/>
        <w:adjustRightInd w:val="0"/>
        <w:rPr>
          <w:rFonts w:ascii="宋体" w:hAnsi="宋体" w:cs="Arial"/>
        </w:rPr>
      </w:pPr>
      <w:r>
        <w:rPr>
          <w:rFonts w:hint="eastAsia" w:ascii="宋体" w:hAnsi="宋体" w:cs="Arial"/>
          <w:lang w:val="zh-CN"/>
        </w:rPr>
        <w:t>式中：</w:t>
      </w:r>
      <w:r>
        <w:rPr>
          <w:rFonts w:ascii="宋体" w:hAnsi="宋体" w:cs="Arial"/>
          <w:i/>
          <w:iCs/>
          <w:lang w:val="zh-CN"/>
        </w:rPr>
        <w:t>S</w:t>
      </w:r>
      <w:r>
        <w:rPr>
          <w:rFonts w:hint="eastAsia" w:ascii="宋体" w:hAnsi="宋体" w:cs="Arial"/>
          <w:lang w:val="zh-CN"/>
        </w:rPr>
        <w:t>为垂线平均含沙量；</w:t>
      </w:r>
      <w:r>
        <w:rPr>
          <w:rFonts w:ascii="宋体" w:hAnsi="宋体" w:cs="Arial"/>
          <w:i/>
          <w:iCs/>
          <w:lang w:val="zh-CN"/>
        </w:rPr>
        <w:t>u</w:t>
      </w:r>
      <w:r>
        <w:rPr>
          <w:rFonts w:hint="eastAsia" w:ascii="宋体" w:hAnsi="宋体" w:cs="Arial"/>
          <w:lang w:val="zh-CN"/>
        </w:rPr>
        <w:t>、</w:t>
      </w:r>
      <w:r>
        <w:rPr>
          <w:rFonts w:ascii="宋体" w:hAnsi="宋体" w:cs="Arial"/>
          <w:i/>
          <w:iCs/>
          <w:lang w:val="zh-CN"/>
        </w:rPr>
        <w:t>v</w:t>
      </w:r>
      <w:r>
        <w:rPr>
          <w:rFonts w:hint="eastAsia" w:ascii="宋体" w:hAnsi="宋体" w:cs="Arial"/>
          <w:lang w:val="zh-CN"/>
        </w:rPr>
        <w:t>分别为沿</w:t>
      </w:r>
      <w:r>
        <w:rPr>
          <w:rFonts w:ascii="宋体" w:hAnsi="宋体" w:cs="Arial"/>
          <w:lang w:val="zh-CN"/>
        </w:rPr>
        <w:t>x</w:t>
      </w:r>
      <w:r>
        <w:rPr>
          <w:rFonts w:hint="eastAsia" w:ascii="宋体" w:hAnsi="宋体" w:cs="Arial"/>
          <w:lang w:val="zh-CN"/>
        </w:rPr>
        <w:t>和</w:t>
      </w:r>
      <w:r>
        <w:rPr>
          <w:rFonts w:ascii="宋体" w:hAnsi="宋体" w:cs="Arial"/>
          <w:lang w:val="zh-CN"/>
        </w:rPr>
        <w:t>y</w:t>
      </w:r>
      <w:r>
        <w:rPr>
          <w:rFonts w:hint="eastAsia" w:ascii="宋体" w:hAnsi="宋体" w:cs="Arial"/>
          <w:lang w:val="zh-CN"/>
        </w:rPr>
        <w:t>方向的垂线平均流速；</w:t>
      </w:r>
      <w:r>
        <w:rPr>
          <w:rFonts w:hint="eastAsia" w:ascii="宋体" w:hAnsi="宋体" w:cs="Arial"/>
          <w:i/>
          <w:iCs/>
          <w:lang w:val="zh-CN"/>
        </w:rPr>
        <w:t>α</w:t>
      </w:r>
      <w:r>
        <w:rPr>
          <w:rFonts w:hint="eastAsia" w:ascii="宋体" w:hAnsi="宋体" w:cs="Arial"/>
          <w:lang w:val="zh-CN"/>
        </w:rPr>
        <w:t>为恢复饱和系数；</w:t>
      </w:r>
      <w:r>
        <w:rPr>
          <w:rFonts w:hint="eastAsia" w:ascii="宋体" w:hAnsi="宋体" w:cs="Arial"/>
          <w:i/>
          <w:iCs/>
        </w:rPr>
        <w:t>ω</w:t>
      </w:r>
      <w:r>
        <w:rPr>
          <w:rFonts w:hint="eastAsia" w:ascii="宋体" w:hAnsi="宋体" w:cs="Arial"/>
        </w:rPr>
        <w:t>为悬沙沉降速度;</w:t>
      </w:r>
      <w:r>
        <w:rPr>
          <w:rFonts w:hint="eastAsia" w:ascii="宋体" w:hAnsi="宋体" w:cs="Arial"/>
          <w:i/>
          <w:iCs/>
        </w:rPr>
        <w:t>H</w:t>
      </w:r>
      <w:r>
        <w:rPr>
          <w:rFonts w:hint="eastAsia" w:ascii="宋体" w:hAnsi="宋体" w:cs="Arial"/>
          <w:lang w:val="zh-CN"/>
        </w:rPr>
        <w:t>为实际水深；</w:t>
      </w:r>
      <w:r>
        <w:rPr>
          <w:rFonts w:hint="eastAsia" w:ascii="宋体" w:hAnsi="宋体" w:cs="Arial"/>
          <w:i/>
          <w:iCs/>
        </w:rPr>
        <w:t>φ</w:t>
      </w:r>
      <w:r>
        <w:rPr>
          <w:rFonts w:hint="eastAsia" w:ascii="宋体" w:hAnsi="宋体" w:cs="Arial"/>
        </w:rPr>
        <w:t>为水流挟沙力</w:t>
      </w:r>
      <w:r>
        <w:rPr>
          <w:rFonts w:hint="eastAsia" w:ascii="宋体" w:hAnsi="宋体" w:cs="Arial"/>
          <w:lang w:val="zh-CN"/>
        </w:rPr>
        <w:t>。</w:t>
      </w:r>
    </w:p>
    <w:p>
      <w:pPr>
        <w:widowControl w:val="0"/>
        <w:numPr>
          <w:ilvl w:val="1"/>
          <w:numId w:val="1"/>
        </w:numPr>
        <w:tabs>
          <w:tab w:val="clear" w:pos="540"/>
        </w:tabs>
        <w:autoSpaceDE w:val="0"/>
        <w:autoSpaceDN w:val="0"/>
        <w:adjustRightInd w:val="0"/>
        <w:ind w:left="0" w:firstLine="0"/>
        <w:jc w:val="both"/>
        <w:rPr>
          <w:rFonts w:ascii="宋体" w:hAnsi="宋体" w:cs="Arial"/>
        </w:rPr>
      </w:pPr>
      <w:r>
        <w:rPr>
          <w:rFonts w:hint="eastAsia" w:ascii="黑体" w:hAnsi="宋体" w:eastAsia="黑体"/>
          <w:lang w:val="zh-CN"/>
        </w:rPr>
        <w:t>模型验证</w:t>
      </w:r>
      <w:r>
        <w:rPr>
          <w:rFonts w:hint="eastAsia" w:ascii="黑体" w:hAnsi="宋体" w:eastAsia="黑体" w:cs="Arial"/>
          <w:spacing w:val="10"/>
          <w:szCs w:val="21"/>
          <w:lang w:val="zh-CN"/>
        </w:rPr>
        <w:t xml:space="preserve">  </w:t>
      </w:r>
      <w:r>
        <w:rPr>
          <w:rFonts w:hint="eastAsia" w:ascii="宋体" w:hAnsi="宋体" w:cs="Arial"/>
          <w:lang w:val="zh-CN"/>
        </w:rPr>
        <w:t>模型参数的率定采用</w:t>
      </w:r>
      <w:r>
        <w:rPr>
          <w:rFonts w:ascii="宋体" w:hAnsi="宋体" w:cs="Arial"/>
          <w:lang w:val="zh-CN"/>
        </w:rPr>
        <w:t>1998</w:t>
      </w:r>
      <w:r>
        <w:rPr>
          <w:rFonts w:hint="eastAsia" w:ascii="宋体" w:hAnsi="宋体" w:cs="Arial"/>
          <w:lang w:val="zh-CN"/>
        </w:rPr>
        <w:t>年</w:t>
      </w:r>
      <w:r>
        <w:rPr>
          <w:rFonts w:ascii="宋体" w:hAnsi="宋体" w:cs="Arial"/>
          <w:lang w:val="zh-CN"/>
        </w:rPr>
        <w:t>1</w:t>
      </w:r>
      <w:r>
        <w:rPr>
          <w:rFonts w:hint="eastAsia" w:ascii="宋体" w:hAnsi="宋体" w:cs="Arial"/>
          <w:lang w:val="zh-CN"/>
        </w:rPr>
        <w:t>月的实测水文资料</w:t>
      </w:r>
      <w:r>
        <w:rPr>
          <w:rFonts w:hint="eastAsia"/>
          <w:vertAlign w:val="superscript"/>
          <w:lang w:val="zh-CN"/>
        </w:rPr>
        <w:t>［</w:t>
      </w:r>
      <w:r>
        <w:rPr>
          <w:vertAlign w:val="superscript"/>
          <w:lang w:val="zh-CN"/>
        </w:rPr>
        <w:t>7</w:t>
      </w:r>
      <w:r>
        <w:rPr>
          <w:rFonts w:hint="eastAsia"/>
          <w:vertAlign w:val="superscript"/>
          <w:lang w:val="zh-CN"/>
        </w:rPr>
        <w:t>］</w:t>
      </w:r>
      <w:r>
        <w:rPr>
          <w:rFonts w:hint="eastAsia" w:ascii="宋体" w:hAnsi="宋体" w:cs="Arial"/>
          <w:lang w:val="zh-CN"/>
        </w:rPr>
        <w:t>进行。在深圳湾的水文流监测点位中</w:t>
      </w:r>
      <w:r>
        <w:rPr>
          <w:rFonts w:ascii="宋体" w:hAnsi="宋体" w:cs="Arial"/>
        </w:rPr>
        <w:t>(</w:t>
      </w:r>
      <w:r>
        <w:rPr>
          <w:rFonts w:hint="eastAsia" w:ascii="宋体" w:hAnsi="宋体" w:cs="Arial"/>
          <w:lang w:val="zh-CN"/>
        </w:rPr>
        <w:t>如图</w:t>
      </w:r>
      <w:r>
        <w:rPr>
          <w:rFonts w:ascii="宋体" w:hAnsi="宋体" w:cs="Arial"/>
          <w:lang w:val="zh-CN"/>
        </w:rPr>
        <w:t>1</w:t>
      </w:r>
      <w:r>
        <w:rPr>
          <w:rFonts w:ascii="宋体" w:hAnsi="宋体" w:cs="Arial"/>
        </w:rPr>
        <w:t>)</w:t>
      </w:r>
      <w:r>
        <w:rPr>
          <w:rFonts w:hint="eastAsia" w:ascii="宋体" w:hAnsi="宋体" w:cs="Arial"/>
          <w:lang w:val="zh-CN"/>
        </w:rPr>
        <w:t>，</w:t>
      </w:r>
      <w:r>
        <w:rPr>
          <w:rFonts w:ascii="宋体" w:hAnsi="宋体" w:cs="Arial"/>
          <w:lang w:val="zh-CN"/>
        </w:rPr>
        <w:t>VS3</w:t>
      </w:r>
      <w:r>
        <w:rPr>
          <w:rFonts w:hint="eastAsia" w:ascii="宋体" w:hAnsi="宋体" w:cs="Arial"/>
          <w:lang w:val="zh-CN"/>
        </w:rPr>
        <w:t>和</w:t>
      </w:r>
      <w:r>
        <w:rPr>
          <w:rFonts w:ascii="宋体" w:hAnsi="宋体" w:cs="Arial"/>
          <w:lang w:val="zh-CN"/>
        </w:rPr>
        <w:t>VS4</w:t>
      </w:r>
      <w:r>
        <w:rPr>
          <w:rFonts w:hint="eastAsia" w:ascii="宋体" w:hAnsi="宋体" w:cs="Arial"/>
          <w:lang w:val="zh-CN"/>
        </w:rPr>
        <w:t>接近湾口开边界，利用这两点的泥沙浓度时间序列，通过线性插值得到湾口开边界。</w:t>
      </w:r>
    </w:p>
    <w:p>
      <w:pPr>
        <w:autoSpaceDE w:val="0"/>
        <w:autoSpaceDN w:val="0"/>
        <w:adjustRightInd w:val="0"/>
        <w:ind w:firstLine="380" w:firstLineChars="200"/>
        <w:jc w:val="both"/>
        <w:rPr>
          <w:rFonts w:hint="eastAsia" w:ascii="宋体" w:hAnsi="宋体" w:cs="Arial"/>
          <w:lang w:val="zh-CN"/>
        </w:rPr>
      </w:pPr>
      <w:r>
        <w:rPr>
          <w:rFonts w:hint="eastAsia" w:ascii="宋体" w:hAnsi="宋体" w:cs="Arial"/>
          <w:lang w:val="zh-CN"/>
        </w:rPr>
        <w:t>假设枯水期</w:t>
      </w:r>
      <w:r>
        <w:rPr>
          <w:rFonts w:ascii="宋体" w:hAnsi="宋体" w:cs="Arial"/>
        </w:rPr>
        <w:t>(</w:t>
      </w:r>
      <w:r>
        <w:rPr>
          <w:rFonts w:hint="eastAsia" w:ascii="宋体" w:hAnsi="宋体" w:cs="Arial"/>
          <w:lang w:val="zh-CN"/>
        </w:rPr>
        <w:t>或丰水期</w:t>
      </w:r>
      <w:r>
        <w:rPr>
          <w:rFonts w:ascii="宋体" w:hAnsi="宋体" w:cs="Arial"/>
        </w:rPr>
        <w:t>)</w:t>
      </w:r>
      <w:r>
        <w:rPr>
          <w:rFonts w:hint="eastAsia" w:ascii="宋体" w:hAnsi="宋体" w:cs="Arial"/>
          <w:lang w:val="zh-CN"/>
        </w:rPr>
        <w:t>每个月的来沙量都等于模型预测的枯水期</w:t>
      </w:r>
      <w:r>
        <w:rPr>
          <w:rFonts w:ascii="宋体" w:hAnsi="宋体" w:cs="Arial"/>
        </w:rPr>
        <w:t>(</w:t>
      </w:r>
      <w:r>
        <w:rPr>
          <w:rFonts w:hint="eastAsia" w:ascii="宋体" w:hAnsi="宋体" w:cs="Arial"/>
          <w:lang w:val="zh-CN"/>
        </w:rPr>
        <w:t>或丰水期</w:t>
      </w:r>
      <w:r>
        <w:rPr>
          <w:rFonts w:ascii="宋体" w:hAnsi="宋体" w:cs="Arial"/>
        </w:rPr>
        <w:t>)</w:t>
      </w:r>
      <w:r>
        <w:rPr>
          <w:rFonts w:hint="eastAsia" w:ascii="宋体" w:hAnsi="宋体" w:cs="Arial"/>
          <w:lang w:val="zh-CN"/>
        </w:rPr>
        <w:t>月来沙量，以枯水期</w:t>
      </w:r>
      <w:r>
        <w:rPr>
          <w:rFonts w:ascii="宋体" w:hAnsi="宋体" w:cs="Arial"/>
          <w:lang w:val="zh-CN"/>
        </w:rPr>
        <w:t>5</w:t>
      </w:r>
      <w:r>
        <w:rPr>
          <w:rFonts w:hint="eastAsia" w:ascii="宋体" w:hAnsi="宋体" w:cs="Arial"/>
          <w:lang w:val="zh-CN"/>
        </w:rPr>
        <w:t>个月、丰水期</w:t>
      </w:r>
      <w:r>
        <w:rPr>
          <w:rFonts w:ascii="宋体" w:hAnsi="宋体" w:cs="Arial"/>
          <w:lang w:val="zh-CN"/>
        </w:rPr>
        <w:t>7</w:t>
      </w:r>
      <w:r>
        <w:rPr>
          <w:rFonts w:hint="eastAsia" w:ascii="宋体" w:hAnsi="宋体" w:cs="Arial"/>
          <w:lang w:val="zh-CN"/>
        </w:rPr>
        <w:t>个月将</w:t>
      </w:r>
      <w:r>
        <w:rPr>
          <w:rFonts w:ascii="宋体" w:hAnsi="宋体" w:cs="Arial"/>
          <w:lang w:val="zh-CN"/>
        </w:rPr>
        <w:t>12</w:t>
      </w:r>
      <w:r>
        <w:rPr>
          <w:rFonts w:hint="eastAsia" w:ascii="宋体" w:hAnsi="宋体" w:cs="Arial"/>
          <w:lang w:val="zh-CN"/>
        </w:rPr>
        <w:t>个月的来沙量累加，可以近似得到深圳湾的年来沙量。如表</w:t>
      </w:r>
      <w:r>
        <w:rPr>
          <w:rFonts w:ascii="宋体" w:hAnsi="宋体" w:cs="Arial"/>
          <w:lang w:val="zh-CN"/>
        </w:rPr>
        <w:t>2</w:t>
      </w:r>
      <w:r>
        <w:rPr>
          <w:rFonts w:hint="eastAsia" w:ascii="宋体" w:hAnsi="宋体" w:cs="Arial"/>
          <w:lang w:val="zh-CN"/>
        </w:rPr>
        <w:t>所示，除方案二对应的年来沙量减少外，其它方案的年来沙量都略有增加，其中方案四增加得最多，而方案三的年来沙量变化最小。</w:t>
      </w:r>
    </w:p>
    <w:p>
      <w:pPr>
        <w:wordWrap w:val="0"/>
        <w:autoSpaceDE w:val="0"/>
        <w:autoSpaceDN w:val="0"/>
        <w:adjustRightInd w:val="0"/>
        <w:jc w:val="right"/>
        <w:rPr>
          <w:rFonts w:ascii="宋体" w:hAnsi="宋体" w:cs="Arial"/>
          <w:sz w:val="18"/>
        </w:rPr>
      </w:pPr>
      <w:r>
        <w:rPr>
          <w:rFonts w:hint="eastAsia" w:ascii="宋体" w:hAnsi="宋体" w:cs="Arial"/>
          <w:sz w:val="18"/>
          <w:lang w:val="zh-CN"/>
        </w:rPr>
        <w:t>表</w:t>
      </w:r>
      <w:r>
        <w:rPr>
          <w:rFonts w:ascii="宋体" w:hAnsi="宋体" w:cs="Arial"/>
          <w:sz w:val="18"/>
        </w:rPr>
        <w:t xml:space="preserve">2 </w:t>
      </w:r>
      <w:r>
        <w:rPr>
          <w:rFonts w:hint="eastAsia" w:ascii="宋体" w:hAnsi="宋体" w:cs="Arial"/>
          <w:sz w:val="18"/>
          <w:lang w:val="zh-CN"/>
        </w:rPr>
        <w:t xml:space="preserve">填海前后深圳湾月来沙量和年来沙量变化                  </w:t>
      </w:r>
      <w:r>
        <w:rPr>
          <w:rFonts w:ascii="宋体" w:hAnsi="宋体" w:cs="Arial"/>
          <w:sz w:val="18"/>
          <w:szCs w:val="18"/>
        </w:rPr>
        <w:t>(</w:t>
      </w:r>
      <w:r>
        <w:rPr>
          <w:rFonts w:hint="eastAsia" w:ascii="宋体" w:hAnsi="宋体" w:cs="Arial"/>
          <w:sz w:val="18"/>
          <w:szCs w:val="18"/>
          <w:lang w:val="zh-CN"/>
        </w:rPr>
        <w:t>单位</w:t>
      </w:r>
      <w:r>
        <w:rPr>
          <w:rFonts w:hint="eastAsia" w:ascii="宋体" w:hAnsi="宋体" w:cs="Arial"/>
          <w:sz w:val="18"/>
          <w:szCs w:val="18"/>
        </w:rPr>
        <w:t>：</w:t>
      </w:r>
      <w:r>
        <w:rPr>
          <w:rFonts w:ascii="宋体" w:hAnsi="宋体" w:cs="Arial"/>
          <w:sz w:val="18"/>
          <w:szCs w:val="18"/>
        </w:rPr>
        <w:t>10</w:t>
      </w:r>
      <w:r>
        <w:rPr>
          <w:rFonts w:ascii="宋体" w:hAnsi="宋体" w:cs="Arial"/>
          <w:sz w:val="18"/>
          <w:szCs w:val="18"/>
          <w:vertAlign w:val="superscript"/>
        </w:rPr>
        <w:t>3</w:t>
      </w:r>
      <w:r>
        <w:rPr>
          <w:rFonts w:ascii="宋体" w:hAnsi="宋体" w:cs="Arial"/>
          <w:sz w:val="18"/>
          <w:szCs w:val="18"/>
        </w:rPr>
        <w:t>t)</w:t>
      </w:r>
    </w:p>
    <w:tbl>
      <w:tblPr>
        <w:tblStyle w:val="6"/>
        <w:tblW w:w="9242" w:type="dxa"/>
        <w:tblInd w:w="0" w:type="dxa"/>
        <w:tblBorders>
          <w:top w:val="single" w:color="808080" w:sz="12" w:space="0"/>
          <w:left w:val="none" w:color="auto" w:sz="0" w:space="0"/>
          <w:bottom w:val="single" w:color="80808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82"/>
        <w:gridCol w:w="1529"/>
        <w:gridCol w:w="1529"/>
        <w:gridCol w:w="1701"/>
        <w:gridCol w:w="3201"/>
      </w:tblGrid>
      <w:tr>
        <w:tblPrEx>
          <w:tblBorders>
            <w:top w:val="single" w:color="808080" w:sz="12" w:space="0"/>
            <w:left w:val="none" w:color="auto" w:sz="0" w:space="0"/>
            <w:bottom w:val="single" w:color="80808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01" w:hRule="atLeast"/>
        </w:trPr>
        <w:tc>
          <w:tcPr>
            <w:tcW w:w="1282" w:type="dxa"/>
            <w:tcBorders>
              <w:top w:val="single" w:color="000000" w:sz="8" w:space="0"/>
              <w:bottom w:val="single" w:color="000000" w:sz="8" w:space="0"/>
            </w:tcBorders>
            <w:noWrap w:val="0"/>
            <w:vAlign w:val="center"/>
          </w:tcPr>
          <w:p>
            <w:pPr>
              <w:autoSpaceDE w:val="0"/>
              <w:autoSpaceDN w:val="0"/>
              <w:adjustRightInd w:val="0"/>
              <w:jc w:val="center"/>
              <w:rPr>
                <w:rFonts w:ascii="宋体" w:hAnsi="宋体" w:cs="Arial"/>
                <w:sz w:val="15"/>
              </w:rPr>
            </w:pPr>
            <w:r>
              <w:rPr>
                <w:rFonts w:hint="eastAsia" w:ascii="宋体" w:hAnsi="宋体" w:cs="Arial"/>
                <w:sz w:val="15"/>
                <w:lang w:val="zh-CN"/>
              </w:rPr>
              <w:t>方  案</w:t>
            </w:r>
          </w:p>
        </w:tc>
        <w:tc>
          <w:tcPr>
            <w:tcW w:w="1529" w:type="dxa"/>
            <w:tcBorders>
              <w:top w:val="single" w:color="000000" w:sz="8" w:space="0"/>
              <w:bottom w:val="single" w:color="000000" w:sz="8" w:space="0"/>
            </w:tcBorders>
            <w:noWrap w:val="0"/>
            <w:vAlign w:val="center"/>
          </w:tcPr>
          <w:p>
            <w:pPr>
              <w:autoSpaceDE w:val="0"/>
              <w:autoSpaceDN w:val="0"/>
              <w:adjustRightInd w:val="0"/>
              <w:jc w:val="center"/>
              <w:rPr>
                <w:rFonts w:ascii="宋体" w:hAnsi="宋体" w:cs="Arial"/>
                <w:sz w:val="15"/>
              </w:rPr>
            </w:pPr>
            <w:r>
              <w:rPr>
                <w:rFonts w:hint="eastAsia" w:ascii="宋体" w:hAnsi="宋体" w:cs="Arial"/>
                <w:sz w:val="15"/>
                <w:lang w:val="zh-CN"/>
              </w:rPr>
              <w:t>枯水期</w:t>
            </w:r>
            <w:r>
              <w:rPr>
                <w:rFonts w:ascii="宋体" w:hAnsi="宋体" w:cs="Arial"/>
                <w:sz w:val="15"/>
              </w:rPr>
              <w:t>(30</w:t>
            </w:r>
            <w:r>
              <w:rPr>
                <w:rFonts w:hint="eastAsia" w:ascii="宋体" w:hAnsi="宋体" w:cs="Arial"/>
                <w:sz w:val="15"/>
              </w:rPr>
              <w:t>d</w:t>
            </w:r>
            <w:r>
              <w:rPr>
                <w:rFonts w:ascii="宋体" w:hAnsi="宋体" w:cs="Arial"/>
                <w:sz w:val="15"/>
              </w:rPr>
              <w:t>)</w:t>
            </w:r>
          </w:p>
        </w:tc>
        <w:tc>
          <w:tcPr>
            <w:tcW w:w="1529" w:type="dxa"/>
            <w:tcBorders>
              <w:top w:val="single" w:color="000000" w:sz="8" w:space="0"/>
              <w:bottom w:val="single" w:color="000000" w:sz="8" w:space="0"/>
            </w:tcBorders>
            <w:noWrap w:val="0"/>
            <w:vAlign w:val="center"/>
          </w:tcPr>
          <w:p>
            <w:pPr>
              <w:autoSpaceDE w:val="0"/>
              <w:autoSpaceDN w:val="0"/>
              <w:adjustRightInd w:val="0"/>
              <w:jc w:val="center"/>
              <w:rPr>
                <w:rFonts w:ascii="宋体" w:hAnsi="宋体" w:cs="Arial"/>
                <w:sz w:val="15"/>
              </w:rPr>
            </w:pPr>
            <w:r>
              <w:rPr>
                <w:rFonts w:hint="eastAsia" w:ascii="宋体" w:hAnsi="宋体" w:cs="Arial"/>
                <w:sz w:val="15"/>
                <w:lang w:val="zh-CN"/>
              </w:rPr>
              <w:t>丰水期</w:t>
            </w:r>
            <w:r>
              <w:rPr>
                <w:rFonts w:ascii="宋体" w:hAnsi="宋体" w:cs="Arial"/>
                <w:sz w:val="15"/>
              </w:rPr>
              <w:t>(30</w:t>
            </w:r>
            <w:r>
              <w:rPr>
                <w:rFonts w:hint="eastAsia" w:ascii="宋体" w:hAnsi="宋体" w:cs="Arial"/>
                <w:sz w:val="15"/>
              </w:rPr>
              <w:t>d</w:t>
            </w:r>
            <w:r>
              <w:rPr>
                <w:rFonts w:ascii="宋体" w:hAnsi="宋体" w:cs="Arial"/>
                <w:sz w:val="15"/>
              </w:rPr>
              <w:t>)</w:t>
            </w:r>
          </w:p>
        </w:tc>
        <w:tc>
          <w:tcPr>
            <w:tcW w:w="1701" w:type="dxa"/>
            <w:tcBorders>
              <w:top w:val="single" w:color="000000" w:sz="8" w:space="0"/>
              <w:bottom w:val="single" w:color="000000" w:sz="8" w:space="0"/>
            </w:tcBorders>
            <w:noWrap w:val="0"/>
            <w:vAlign w:val="center"/>
          </w:tcPr>
          <w:p>
            <w:pPr>
              <w:autoSpaceDE w:val="0"/>
              <w:autoSpaceDN w:val="0"/>
              <w:adjustRightInd w:val="0"/>
              <w:jc w:val="center"/>
              <w:rPr>
                <w:rFonts w:ascii="宋体" w:hAnsi="宋体" w:cs="Arial"/>
                <w:sz w:val="15"/>
              </w:rPr>
            </w:pPr>
            <w:r>
              <w:rPr>
                <w:rFonts w:hint="eastAsia" w:ascii="宋体" w:hAnsi="宋体" w:cs="Arial"/>
                <w:sz w:val="15"/>
                <w:lang w:val="zh-CN"/>
              </w:rPr>
              <w:t>年</w:t>
            </w:r>
            <w:r>
              <w:rPr>
                <w:rFonts w:ascii="宋体" w:hAnsi="宋体" w:cs="Arial"/>
                <w:sz w:val="15"/>
              </w:rPr>
              <w:t>(365</w:t>
            </w:r>
            <w:r>
              <w:rPr>
                <w:rFonts w:hint="eastAsia" w:ascii="宋体" w:hAnsi="宋体" w:cs="Arial"/>
                <w:sz w:val="15"/>
                <w:lang w:val="zh-CN"/>
              </w:rPr>
              <w:t>d</w:t>
            </w:r>
            <w:r>
              <w:rPr>
                <w:rFonts w:ascii="宋体" w:hAnsi="宋体" w:cs="Arial"/>
                <w:sz w:val="15"/>
              </w:rPr>
              <w:t>)</w:t>
            </w:r>
          </w:p>
        </w:tc>
        <w:tc>
          <w:tcPr>
            <w:tcW w:w="3201" w:type="dxa"/>
            <w:tcBorders>
              <w:top w:val="single" w:color="000000" w:sz="8" w:space="0"/>
              <w:bottom w:val="single" w:color="000000" w:sz="8" w:space="0"/>
            </w:tcBorders>
            <w:noWrap w:val="0"/>
            <w:vAlign w:val="center"/>
          </w:tcPr>
          <w:p>
            <w:pPr>
              <w:autoSpaceDE w:val="0"/>
              <w:autoSpaceDN w:val="0"/>
              <w:adjustRightInd w:val="0"/>
              <w:jc w:val="center"/>
              <w:rPr>
                <w:rFonts w:ascii="宋体" w:hAnsi="宋体" w:cs="Arial"/>
                <w:sz w:val="15"/>
              </w:rPr>
            </w:pPr>
            <w:r>
              <w:rPr>
                <w:rFonts w:hint="eastAsia" w:ascii="宋体" w:hAnsi="宋体" w:cs="Arial"/>
                <w:sz w:val="15"/>
                <w:lang w:val="zh-CN"/>
              </w:rPr>
              <w:t>填海后年内沙量的增</w:t>
            </w:r>
            <w:r>
              <w:rPr>
                <w:rFonts w:ascii="宋体" w:hAnsi="宋体" w:cs="Arial"/>
                <w:sz w:val="15"/>
              </w:rPr>
              <w:t>-</w:t>
            </w:r>
            <w:r>
              <w:rPr>
                <w:rFonts w:hint="eastAsia" w:ascii="宋体" w:hAnsi="宋体" w:cs="Arial"/>
                <w:sz w:val="15"/>
                <w:lang w:val="zh-CN"/>
              </w:rPr>
              <w:t>减比例/</w:t>
            </w:r>
            <w:r>
              <w:rPr>
                <w:rFonts w:ascii="宋体" w:hAnsi="宋体" w:cs="Arial"/>
                <w:sz w:val="15"/>
              </w:rPr>
              <w:t>%</w:t>
            </w:r>
          </w:p>
        </w:tc>
      </w:tr>
      <w:tr>
        <w:tblPrEx>
          <w:tblBorders>
            <w:top w:val="single" w:color="808080" w:sz="12" w:space="0"/>
            <w:left w:val="none" w:color="auto" w:sz="0" w:space="0"/>
            <w:bottom w:val="single" w:color="80808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282" w:type="dxa"/>
            <w:tcBorders>
              <w:top w:val="single" w:color="000000" w:sz="8" w:space="0"/>
              <w:bottom w:val="single" w:color="000000" w:sz="8" w:space="0"/>
            </w:tcBorders>
            <w:noWrap w:val="0"/>
            <w:vAlign w:val="top"/>
          </w:tcPr>
          <w:p>
            <w:pPr>
              <w:autoSpaceDE w:val="0"/>
              <w:autoSpaceDN w:val="0"/>
              <w:adjustRightInd w:val="0"/>
              <w:jc w:val="center"/>
              <w:rPr>
                <w:rFonts w:ascii="宋体" w:hAnsi="宋体" w:cs="Arial"/>
                <w:sz w:val="15"/>
              </w:rPr>
            </w:pPr>
            <w:r>
              <w:rPr>
                <w:rFonts w:hint="eastAsia" w:ascii="宋体" w:hAnsi="宋体" w:cs="Arial"/>
                <w:sz w:val="15"/>
                <w:lang w:val="zh-CN"/>
              </w:rPr>
              <w:t>现</w:t>
            </w:r>
            <w:r>
              <w:rPr>
                <w:rFonts w:ascii="宋体" w:hAnsi="宋体" w:cs="Arial"/>
                <w:sz w:val="15"/>
              </w:rPr>
              <w:t xml:space="preserve">  </w:t>
            </w:r>
            <w:r>
              <w:rPr>
                <w:rFonts w:hint="eastAsia" w:ascii="宋体" w:hAnsi="宋体" w:cs="Arial"/>
                <w:sz w:val="15"/>
                <w:lang w:val="zh-CN"/>
              </w:rPr>
              <w:t>状</w:t>
            </w:r>
          </w:p>
          <w:p>
            <w:pPr>
              <w:autoSpaceDE w:val="0"/>
              <w:autoSpaceDN w:val="0"/>
              <w:adjustRightInd w:val="0"/>
              <w:jc w:val="center"/>
              <w:rPr>
                <w:rFonts w:ascii="宋体" w:hAnsi="宋体" w:cs="Arial"/>
                <w:sz w:val="15"/>
              </w:rPr>
            </w:pPr>
            <w:r>
              <w:rPr>
                <w:rFonts w:hint="eastAsia" w:ascii="宋体" w:hAnsi="宋体" w:cs="Arial"/>
                <w:sz w:val="15"/>
                <w:lang w:val="zh-CN"/>
              </w:rPr>
              <w:t>方案一</w:t>
            </w:r>
          </w:p>
          <w:p>
            <w:pPr>
              <w:autoSpaceDE w:val="0"/>
              <w:autoSpaceDN w:val="0"/>
              <w:adjustRightInd w:val="0"/>
              <w:jc w:val="center"/>
              <w:rPr>
                <w:rFonts w:ascii="宋体" w:hAnsi="宋体" w:cs="Arial"/>
                <w:sz w:val="15"/>
              </w:rPr>
            </w:pPr>
            <w:r>
              <w:rPr>
                <w:rFonts w:hint="eastAsia" w:ascii="宋体" w:hAnsi="宋体" w:cs="Arial"/>
                <w:sz w:val="15"/>
                <w:lang w:val="zh-CN"/>
              </w:rPr>
              <w:t>方案二</w:t>
            </w:r>
          </w:p>
          <w:p>
            <w:pPr>
              <w:autoSpaceDE w:val="0"/>
              <w:autoSpaceDN w:val="0"/>
              <w:adjustRightInd w:val="0"/>
              <w:jc w:val="center"/>
              <w:rPr>
                <w:rFonts w:hint="eastAsia" w:ascii="宋体" w:hAnsi="宋体" w:cs="Arial"/>
                <w:sz w:val="15"/>
              </w:rPr>
            </w:pPr>
            <w:r>
              <w:rPr>
                <w:rFonts w:hint="eastAsia" w:ascii="宋体" w:hAnsi="宋体" w:cs="Arial"/>
                <w:sz w:val="15"/>
                <w:lang w:val="zh-CN"/>
              </w:rPr>
              <w:t>方案三</w:t>
            </w:r>
          </w:p>
        </w:tc>
        <w:tc>
          <w:tcPr>
            <w:tcW w:w="1529" w:type="dxa"/>
            <w:tcBorders>
              <w:top w:val="single" w:color="000000" w:sz="8" w:space="0"/>
              <w:bottom w:val="single" w:color="000000" w:sz="8" w:space="0"/>
            </w:tcBorders>
            <w:noWrap w:val="0"/>
            <w:vAlign w:val="top"/>
          </w:tcPr>
          <w:p>
            <w:pPr>
              <w:autoSpaceDE w:val="0"/>
              <w:autoSpaceDN w:val="0"/>
              <w:adjustRightInd w:val="0"/>
              <w:jc w:val="center"/>
              <w:rPr>
                <w:rFonts w:ascii="宋体" w:hAnsi="宋体" w:cs="Arial"/>
                <w:sz w:val="15"/>
              </w:rPr>
            </w:pPr>
            <w:r>
              <w:rPr>
                <w:rFonts w:ascii="宋体" w:hAnsi="宋体" w:cs="Arial"/>
                <w:sz w:val="15"/>
              </w:rPr>
              <w:t>14.5</w:t>
            </w:r>
          </w:p>
          <w:p>
            <w:pPr>
              <w:autoSpaceDE w:val="0"/>
              <w:autoSpaceDN w:val="0"/>
              <w:adjustRightInd w:val="0"/>
              <w:jc w:val="center"/>
              <w:rPr>
                <w:rFonts w:ascii="宋体" w:hAnsi="宋体" w:cs="Arial"/>
                <w:sz w:val="15"/>
              </w:rPr>
            </w:pPr>
            <w:r>
              <w:rPr>
                <w:rFonts w:ascii="宋体" w:hAnsi="宋体" w:cs="Arial"/>
                <w:sz w:val="15"/>
              </w:rPr>
              <w:t>18.5</w:t>
            </w:r>
          </w:p>
          <w:p>
            <w:pPr>
              <w:autoSpaceDE w:val="0"/>
              <w:autoSpaceDN w:val="0"/>
              <w:adjustRightInd w:val="0"/>
              <w:jc w:val="center"/>
              <w:rPr>
                <w:rFonts w:ascii="宋体" w:hAnsi="宋体" w:cs="Arial"/>
                <w:sz w:val="15"/>
              </w:rPr>
            </w:pPr>
            <w:r>
              <w:rPr>
                <w:rFonts w:ascii="宋体" w:hAnsi="宋体" w:cs="Arial"/>
                <w:sz w:val="15"/>
              </w:rPr>
              <w:t>19.5</w:t>
            </w:r>
          </w:p>
          <w:p>
            <w:pPr>
              <w:autoSpaceDE w:val="0"/>
              <w:autoSpaceDN w:val="0"/>
              <w:adjustRightInd w:val="0"/>
              <w:jc w:val="center"/>
              <w:rPr>
                <w:rFonts w:ascii="宋体" w:hAnsi="宋体" w:cs="Arial"/>
                <w:sz w:val="15"/>
              </w:rPr>
            </w:pPr>
            <w:r>
              <w:rPr>
                <w:rFonts w:ascii="宋体" w:hAnsi="宋体" w:cs="Arial"/>
                <w:sz w:val="15"/>
              </w:rPr>
              <w:t>19.0</w:t>
            </w:r>
          </w:p>
        </w:tc>
        <w:tc>
          <w:tcPr>
            <w:tcW w:w="1529" w:type="dxa"/>
            <w:tcBorders>
              <w:top w:val="single" w:color="000000" w:sz="8" w:space="0"/>
              <w:bottom w:val="single" w:color="000000" w:sz="8" w:space="0"/>
            </w:tcBorders>
            <w:noWrap w:val="0"/>
            <w:vAlign w:val="top"/>
          </w:tcPr>
          <w:p>
            <w:pPr>
              <w:autoSpaceDE w:val="0"/>
              <w:autoSpaceDN w:val="0"/>
              <w:adjustRightInd w:val="0"/>
              <w:jc w:val="center"/>
              <w:rPr>
                <w:rFonts w:ascii="宋体" w:hAnsi="宋体" w:cs="Arial"/>
                <w:sz w:val="15"/>
              </w:rPr>
            </w:pPr>
            <w:r>
              <w:rPr>
                <w:rFonts w:ascii="宋体" w:hAnsi="宋体" w:cs="Arial"/>
                <w:sz w:val="15"/>
              </w:rPr>
              <w:t>58.4</w:t>
            </w:r>
          </w:p>
          <w:p>
            <w:pPr>
              <w:autoSpaceDE w:val="0"/>
              <w:autoSpaceDN w:val="0"/>
              <w:adjustRightInd w:val="0"/>
              <w:jc w:val="center"/>
              <w:rPr>
                <w:rFonts w:ascii="宋体" w:hAnsi="宋体" w:cs="Arial"/>
                <w:sz w:val="15"/>
              </w:rPr>
            </w:pPr>
            <w:r>
              <w:rPr>
                <w:rFonts w:ascii="宋体" w:hAnsi="宋体" w:cs="Arial"/>
                <w:sz w:val="15"/>
              </w:rPr>
              <w:t>56.4</w:t>
            </w:r>
          </w:p>
          <w:p>
            <w:pPr>
              <w:autoSpaceDE w:val="0"/>
              <w:autoSpaceDN w:val="0"/>
              <w:adjustRightInd w:val="0"/>
              <w:jc w:val="center"/>
              <w:rPr>
                <w:rFonts w:ascii="宋体" w:hAnsi="宋体" w:cs="Arial"/>
                <w:sz w:val="15"/>
              </w:rPr>
            </w:pPr>
            <w:r>
              <w:rPr>
                <w:rFonts w:ascii="宋体" w:hAnsi="宋体" w:cs="Arial"/>
                <w:sz w:val="15"/>
              </w:rPr>
              <w:t>53.8</w:t>
            </w:r>
          </w:p>
          <w:p>
            <w:pPr>
              <w:autoSpaceDE w:val="0"/>
              <w:autoSpaceDN w:val="0"/>
              <w:adjustRightInd w:val="0"/>
              <w:jc w:val="center"/>
              <w:rPr>
                <w:rFonts w:ascii="宋体" w:hAnsi="宋体" w:cs="Arial"/>
                <w:sz w:val="15"/>
              </w:rPr>
            </w:pPr>
            <w:r>
              <w:rPr>
                <w:rFonts w:ascii="宋体" w:hAnsi="宋体" w:cs="Arial"/>
                <w:sz w:val="15"/>
              </w:rPr>
              <w:t>55.5</w:t>
            </w:r>
          </w:p>
        </w:tc>
        <w:tc>
          <w:tcPr>
            <w:tcW w:w="1701" w:type="dxa"/>
            <w:tcBorders>
              <w:top w:val="single" w:color="000000" w:sz="8" w:space="0"/>
              <w:bottom w:val="single" w:color="000000" w:sz="8" w:space="0"/>
            </w:tcBorders>
            <w:noWrap w:val="0"/>
            <w:vAlign w:val="top"/>
          </w:tcPr>
          <w:p>
            <w:pPr>
              <w:autoSpaceDE w:val="0"/>
              <w:autoSpaceDN w:val="0"/>
              <w:adjustRightInd w:val="0"/>
              <w:jc w:val="center"/>
              <w:rPr>
                <w:rFonts w:ascii="宋体" w:hAnsi="宋体" w:cs="Arial"/>
                <w:sz w:val="15"/>
              </w:rPr>
            </w:pPr>
            <w:r>
              <w:rPr>
                <w:rFonts w:ascii="宋体" w:hAnsi="宋体" w:cs="Arial"/>
                <w:sz w:val="15"/>
              </w:rPr>
              <w:t>481.3</w:t>
            </w:r>
          </w:p>
          <w:p>
            <w:pPr>
              <w:autoSpaceDE w:val="0"/>
              <w:autoSpaceDN w:val="0"/>
              <w:adjustRightInd w:val="0"/>
              <w:jc w:val="center"/>
              <w:rPr>
                <w:rFonts w:ascii="宋体" w:hAnsi="宋体" w:cs="Arial"/>
                <w:sz w:val="15"/>
              </w:rPr>
            </w:pPr>
            <w:r>
              <w:rPr>
                <w:rFonts w:ascii="宋体" w:hAnsi="宋体" w:cs="Arial"/>
                <w:sz w:val="15"/>
              </w:rPr>
              <w:t>48</w:t>
            </w:r>
            <w:r>
              <w:rPr>
                <w:rFonts w:hint="eastAsia" w:ascii="宋体" w:hAnsi="宋体" w:cs="Arial"/>
                <w:sz w:val="15"/>
              </w:rPr>
              <w:t>7</w:t>
            </w:r>
            <w:r>
              <w:rPr>
                <w:rFonts w:ascii="宋体" w:hAnsi="宋体" w:cs="Arial"/>
                <w:sz w:val="15"/>
              </w:rPr>
              <w:t>.3</w:t>
            </w:r>
          </w:p>
          <w:p>
            <w:pPr>
              <w:autoSpaceDE w:val="0"/>
              <w:autoSpaceDN w:val="0"/>
              <w:adjustRightInd w:val="0"/>
              <w:jc w:val="center"/>
              <w:rPr>
                <w:rFonts w:ascii="宋体" w:hAnsi="宋体" w:cs="Arial"/>
                <w:sz w:val="15"/>
              </w:rPr>
            </w:pPr>
            <w:r>
              <w:rPr>
                <w:rFonts w:ascii="宋体" w:hAnsi="宋体" w:cs="Arial"/>
                <w:sz w:val="15"/>
              </w:rPr>
              <w:t>474.1</w:t>
            </w:r>
          </w:p>
          <w:p>
            <w:pPr>
              <w:autoSpaceDE w:val="0"/>
              <w:autoSpaceDN w:val="0"/>
              <w:adjustRightInd w:val="0"/>
              <w:jc w:val="center"/>
              <w:rPr>
                <w:rFonts w:ascii="宋体" w:hAnsi="宋体" w:cs="Arial"/>
                <w:sz w:val="15"/>
              </w:rPr>
            </w:pPr>
            <w:r>
              <w:rPr>
                <w:rFonts w:ascii="宋体" w:hAnsi="宋体" w:cs="Arial"/>
                <w:sz w:val="15"/>
              </w:rPr>
              <w:t>483.5</w:t>
            </w:r>
          </w:p>
        </w:tc>
        <w:tc>
          <w:tcPr>
            <w:tcW w:w="3201" w:type="dxa"/>
            <w:tcBorders>
              <w:top w:val="single" w:color="000000" w:sz="8" w:space="0"/>
              <w:bottom w:val="single" w:color="000000" w:sz="8" w:space="0"/>
            </w:tcBorders>
            <w:noWrap w:val="0"/>
            <w:vAlign w:val="top"/>
          </w:tcPr>
          <w:p>
            <w:pPr>
              <w:autoSpaceDE w:val="0"/>
              <w:autoSpaceDN w:val="0"/>
              <w:adjustRightInd w:val="0"/>
              <w:jc w:val="center"/>
              <w:rPr>
                <w:rFonts w:ascii="宋体" w:hAnsi="宋体" w:cs="Arial"/>
                <w:sz w:val="15"/>
              </w:rPr>
            </w:pPr>
          </w:p>
          <w:p>
            <w:pPr>
              <w:autoSpaceDE w:val="0"/>
              <w:autoSpaceDN w:val="0"/>
              <w:adjustRightInd w:val="0"/>
              <w:jc w:val="center"/>
              <w:rPr>
                <w:rFonts w:ascii="宋体" w:hAnsi="宋体" w:cs="Arial"/>
                <w:sz w:val="15"/>
              </w:rPr>
            </w:pPr>
            <w:r>
              <w:rPr>
                <w:rFonts w:ascii="宋体" w:hAnsi="宋体" w:cs="Arial"/>
                <w:sz w:val="15"/>
              </w:rPr>
              <w:t>1.25</w:t>
            </w:r>
          </w:p>
          <w:p>
            <w:pPr>
              <w:autoSpaceDE w:val="0"/>
              <w:autoSpaceDN w:val="0"/>
              <w:adjustRightInd w:val="0"/>
              <w:jc w:val="center"/>
              <w:rPr>
                <w:rFonts w:ascii="宋体" w:hAnsi="宋体" w:cs="Arial"/>
                <w:sz w:val="15"/>
              </w:rPr>
            </w:pPr>
            <w:r>
              <w:rPr>
                <w:rFonts w:ascii="宋体" w:hAnsi="宋体" w:cs="Arial"/>
                <w:sz w:val="15"/>
              </w:rPr>
              <w:t>-1.50</w:t>
            </w:r>
          </w:p>
          <w:p>
            <w:pPr>
              <w:autoSpaceDE w:val="0"/>
              <w:autoSpaceDN w:val="0"/>
              <w:adjustRightInd w:val="0"/>
              <w:jc w:val="center"/>
              <w:rPr>
                <w:rFonts w:ascii="宋体" w:hAnsi="宋体" w:cs="Arial"/>
                <w:sz w:val="15"/>
              </w:rPr>
            </w:pPr>
            <w:r>
              <w:rPr>
                <w:rFonts w:ascii="宋体" w:hAnsi="宋体" w:cs="Arial"/>
                <w:sz w:val="15"/>
              </w:rPr>
              <w:t>0.46</w:t>
            </w:r>
          </w:p>
        </w:tc>
      </w:tr>
    </w:tbl>
    <w:p>
      <w:pPr>
        <w:autoSpaceDE w:val="0"/>
        <w:autoSpaceDN w:val="0"/>
        <w:adjustRightInd w:val="0"/>
        <w:spacing w:before="312" w:beforeLines="100" w:after="312" w:afterLines="100"/>
        <w:rPr>
          <w:rFonts w:hint="eastAsia" w:ascii="宋体" w:hAnsi="宋体"/>
          <w:sz w:val="24"/>
          <w:lang w:val="zh-CN"/>
        </w:rPr>
      </w:pPr>
      <w:r>
        <w:rPr>
          <w:rFonts w:hint="eastAsia" w:ascii="宋体" w:hAnsi="宋体"/>
          <w:sz w:val="24"/>
          <w:lang w:val="zh-CN"/>
        </w:rPr>
        <w:t>4 结论</w:t>
      </w:r>
    </w:p>
    <w:p>
      <w:pPr>
        <w:autoSpaceDE w:val="0"/>
        <w:autoSpaceDN w:val="0"/>
        <w:adjustRightInd w:val="0"/>
        <w:ind w:firstLine="380" w:firstLineChars="200"/>
        <w:rPr>
          <w:rFonts w:ascii="宋体" w:hAnsi="宋体" w:cs="Arial"/>
          <w:lang w:val="zh-CN"/>
        </w:rPr>
      </w:pPr>
      <w:r>
        <w:rPr>
          <w:rFonts w:hint="eastAsia" w:ascii="宋体" w:hAnsi="宋体" w:cs="Arial"/>
          <w:lang w:val="zh-CN"/>
        </w:rPr>
        <w:t>结论要求条理清晰、简洁准确。</w:t>
      </w:r>
    </w:p>
    <w:p>
      <w:pPr>
        <w:autoSpaceDE w:val="0"/>
        <w:autoSpaceDN w:val="0"/>
        <w:adjustRightInd w:val="0"/>
        <w:spacing w:before="312" w:beforeLines="100" w:after="312" w:afterLines="100"/>
        <w:rPr>
          <w:rFonts w:ascii="黑体" w:hAnsi="宋体" w:eastAsia="黑体" w:cs="Arial"/>
          <w:b/>
          <w:bCs/>
          <w:spacing w:val="120"/>
          <w:lang w:val="zh-CN"/>
        </w:rPr>
      </w:pPr>
      <w:r>
        <w:rPr>
          <w:rFonts w:hint="eastAsia" w:ascii="黑体" w:hAnsi="宋体" w:eastAsia="黑体" w:cs="Arial"/>
          <w:b/>
          <w:bCs/>
          <w:spacing w:val="120"/>
          <w:lang w:val="zh-CN"/>
        </w:rPr>
        <w:t>参考文</w:t>
      </w:r>
      <w:r>
        <w:rPr>
          <w:rFonts w:hint="eastAsia" w:ascii="黑体" w:hAnsi="宋体" w:eastAsia="黑体" w:cs="Arial"/>
          <w:b/>
          <w:bCs/>
          <w:lang w:val="zh-CN"/>
        </w:rPr>
        <w:t>献：</w:t>
      </w:r>
    </w:p>
    <w:p>
      <w:pPr>
        <w:widowControl w:val="0"/>
        <w:numPr>
          <w:ilvl w:val="0"/>
          <w:numId w:val="2"/>
        </w:numPr>
        <w:tabs>
          <w:tab w:val="left" w:pos="735"/>
          <w:tab w:val="clear" w:pos="648"/>
        </w:tabs>
        <w:autoSpaceDE w:val="0"/>
        <w:autoSpaceDN w:val="0"/>
        <w:ind w:left="700" w:leftChars="100" w:right="190" w:rightChars="100" w:hanging="510" w:hangingChars="300"/>
        <w:rPr>
          <w:rFonts w:ascii="宋体" w:hAnsi="宋体" w:cs="Arial"/>
          <w:sz w:val="18"/>
        </w:rPr>
      </w:pPr>
      <w:r>
        <w:rPr>
          <w:rFonts w:hint="eastAsia" w:ascii="宋体" w:hAnsi="宋体" w:cs="Arial"/>
          <w:sz w:val="18"/>
          <w:lang w:val="zh-CN"/>
        </w:rPr>
        <w:t>林秉南，赵雪华，施麟宝</w:t>
      </w:r>
      <w:r>
        <w:rPr>
          <w:rFonts w:ascii="宋体" w:hAnsi="宋体" w:cs="Arial"/>
          <w:sz w:val="18"/>
          <w:lang w:val="zh-CN"/>
        </w:rPr>
        <w:t xml:space="preserve">. </w:t>
      </w:r>
      <w:r>
        <w:rPr>
          <w:rFonts w:hint="eastAsia" w:ascii="宋体" w:hAnsi="宋体" w:cs="Arial"/>
          <w:sz w:val="18"/>
          <w:lang w:val="zh-CN"/>
        </w:rPr>
        <w:t>河口建坝对毗邻海湾潮波影响的计算</w:t>
      </w:r>
      <w:r>
        <w:rPr>
          <w:rFonts w:ascii="宋体" w:hAnsi="宋体" w:cs="Arial"/>
          <w:sz w:val="18"/>
        </w:rPr>
        <w:t>(</w:t>
      </w:r>
      <w:r>
        <w:rPr>
          <w:rFonts w:hint="eastAsia" w:ascii="宋体" w:hAnsi="宋体" w:cs="Arial"/>
          <w:sz w:val="18"/>
          <w:lang w:val="zh-CN"/>
        </w:rPr>
        <w:t>二维特征线理论法</w:t>
      </w:r>
      <w:r>
        <w:rPr>
          <w:rFonts w:ascii="宋体" w:hAnsi="宋体" w:cs="Arial"/>
          <w:sz w:val="18"/>
        </w:rPr>
        <w:t>)</w:t>
      </w:r>
      <w:r>
        <w:rPr>
          <w:rFonts w:hint="eastAsia" w:ascii="宋体" w:hAnsi="宋体" w:cs="Arial"/>
          <w:sz w:val="18"/>
        </w:rPr>
        <w:t>[J]</w:t>
      </w:r>
      <w:r>
        <w:rPr>
          <w:rFonts w:ascii="宋体" w:hAnsi="宋体" w:cs="Arial"/>
          <w:sz w:val="18"/>
          <w:lang w:val="zh-CN"/>
        </w:rPr>
        <w:t xml:space="preserve">. </w:t>
      </w:r>
      <w:r>
        <w:rPr>
          <w:rFonts w:hint="eastAsia" w:ascii="宋体" w:hAnsi="宋体" w:cs="Arial"/>
          <w:sz w:val="18"/>
          <w:lang w:val="zh-CN"/>
        </w:rPr>
        <w:t>水利学报，</w:t>
      </w:r>
      <w:r>
        <w:rPr>
          <w:rFonts w:ascii="宋体" w:hAnsi="宋体" w:cs="Arial"/>
          <w:sz w:val="18"/>
          <w:lang w:val="zh-CN"/>
        </w:rPr>
        <w:t>1980</w:t>
      </w:r>
      <w:r>
        <w:rPr>
          <w:rFonts w:ascii="宋体" w:hAnsi="宋体" w:cs="Arial"/>
          <w:sz w:val="18"/>
        </w:rPr>
        <w:t>(</w:t>
      </w:r>
      <w:r>
        <w:rPr>
          <w:rFonts w:ascii="宋体" w:hAnsi="宋体" w:cs="Arial"/>
          <w:sz w:val="18"/>
          <w:lang w:val="zh-CN"/>
        </w:rPr>
        <w:t>3)</w:t>
      </w:r>
      <w:r>
        <w:rPr>
          <w:rFonts w:ascii="宋体" w:hAnsi="宋体" w:cs="Arial"/>
          <w:sz w:val="18"/>
        </w:rPr>
        <w:t>:</w:t>
      </w:r>
      <w:r>
        <w:rPr>
          <w:rFonts w:ascii="宋体" w:hAnsi="宋体" w:cs="Arial"/>
          <w:sz w:val="18"/>
          <w:lang w:val="zh-CN"/>
        </w:rPr>
        <w:t>16-25.</w:t>
      </w:r>
    </w:p>
    <w:p>
      <w:pPr>
        <w:widowControl w:val="0"/>
        <w:numPr>
          <w:ilvl w:val="0"/>
          <w:numId w:val="2"/>
        </w:numPr>
        <w:tabs>
          <w:tab w:val="left" w:pos="735"/>
          <w:tab w:val="clear" w:pos="648"/>
        </w:tabs>
        <w:autoSpaceDE w:val="0"/>
        <w:autoSpaceDN w:val="0"/>
        <w:ind w:left="700" w:leftChars="100" w:right="190" w:rightChars="100" w:hanging="510" w:hangingChars="300"/>
        <w:rPr>
          <w:sz w:val="18"/>
        </w:rPr>
      </w:pPr>
      <w:r>
        <w:rPr>
          <w:sz w:val="18"/>
        </w:rPr>
        <w:t>Han</w:t>
      </w:r>
      <w:r>
        <w:rPr>
          <w:rFonts w:hint="eastAsia"/>
          <w:sz w:val="18"/>
        </w:rPr>
        <w:t xml:space="preserve"> </w:t>
      </w:r>
      <w:r>
        <w:rPr>
          <w:sz w:val="18"/>
        </w:rPr>
        <w:t>Z</w:t>
      </w:r>
      <w:r>
        <w:rPr>
          <w:rFonts w:hint="eastAsia"/>
          <w:sz w:val="18"/>
        </w:rPr>
        <w:t xml:space="preserve"> </w:t>
      </w:r>
      <w:r>
        <w:rPr>
          <w:sz w:val="18"/>
        </w:rPr>
        <w:t>C,</w:t>
      </w:r>
      <w:r>
        <w:rPr>
          <w:rFonts w:hint="eastAsia"/>
          <w:sz w:val="18"/>
        </w:rPr>
        <w:t xml:space="preserve"> </w:t>
      </w:r>
      <w:r>
        <w:rPr>
          <w:sz w:val="18"/>
        </w:rPr>
        <w:t>Cheng H</w:t>
      </w:r>
      <w:r>
        <w:rPr>
          <w:rFonts w:hint="eastAsia"/>
          <w:sz w:val="18"/>
        </w:rPr>
        <w:t xml:space="preserve"> </w:t>
      </w:r>
      <w:r>
        <w:rPr>
          <w:sz w:val="18"/>
        </w:rPr>
        <w:t>P. Two-dimensional sediment mathematical  model of Hangzhou Bay. Proc. 3rd Intern. Symp. on River Sedimentation</w:t>
      </w:r>
      <w:r>
        <w:rPr>
          <w:rFonts w:hint="eastAsia" w:ascii="宋体" w:hAnsi="宋体" w:cs="Arial"/>
          <w:sz w:val="18"/>
        </w:rPr>
        <w:t>[J]</w:t>
      </w:r>
      <w:r>
        <w:rPr>
          <w:sz w:val="18"/>
        </w:rPr>
        <w:t xml:space="preserve">. The University of Mississippi, USA, 1986, 463-471. </w:t>
      </w:r>
    </w:p>
    <w:p>
      <w:pPr>
        <w:tabs>
          <w:tab w:val="left" w:pos="840"/>
        </w:tabs>
        <w:autoSpaceDE w:val="0"/>
        <w:autoSpaceDN w:val="0"/>
        <w:ind w:left="1114" w:leftChars="100" w:right="100" w:hanging="924" w:hangingChars="400"/>
        <w:jc w:val="center"/>
        <w:rPr>
          <w:rFonts w:hint="eastAsia"/>
          <w:b/>
          <w:sz w:val="24"/>
        </w:rPr>
      </w:pPr>
    </w:p>
    <w:p>
      <w:pPr>
        <w:tabs>
          <w:tab w:val="left" w:pos="840"/>
        </w:tabs>
        <w:autoSpaceDE w:val="0"/>
        <w:autoSpaceDN w:val="0"/>
        <w:ind w:left="1114" w:leftChars="100" w:right="100" w:hanging="924" w:hangingChars="400"/>
        <w:jc w:val="center"/>
        <w:rPr>
          <w:rFonts w:hint="eastAsia"/>
          <w:b/>
          <w:sz w:val="24"/>
        </w:rPr>
      </w:pPr>
    </w:p>
    <w:p>
      <w:pPr>
        <w:pStyle w:val="2"/>
        <w:ind w:firstLine="562"/>
        <w:rPr>
          <w:sz w:val="28"/>
          <w:szCs w:val="28"/>
        </w:rPr>
      </w:pPr>
      <w:r>
        <w:rPr>
          <w:sz w:val="28"/>
          <w:szCs w:val="28"/>
        </w:rPr>
        <w:t>Determination of Post-reclamation Coastline Based on Sediment Transport Model</w:t>
      </w:r>
    </w:p>
    <w:p>
      <w:pPr>
        <w:autoSpaceDE w:val="0"/>
        <w:autoSpaceDN w:val="0"/>
        <w:adjustRightInd w:val="0"/>
        <w:spacing w:before="156" w:beforeLines="50"/>
        <w:jc w:val="center"/>
        <w:rPr>
          <w:rFonts w:hint="eastAsia" w:ascii="仿宋_GB2312" w:eastAsia="仿宋_GB2312"/>
          <w:sz w:val="24"/>
          <w:vertAlign w:val="superscript"/>
        </w:rPr>
      </w:pPr>
      <w:r>
        <w:rPr>
          <w:rFonts w:hint="eastAsia" w:ascii="仿宋_GB2312" w:eastAsia="仿宋_GB2312"/>
          <w:sz w:val="24"/>
          <w:lang w:val="zh-CN"/>
        </w:rPr>
        <w:t>姓名</w:t>
      </w:r>
      <w:r>
        <w:rPr>
          <w:rFonts w:hint="eastAsia" w:ascii="仿宋_GB2312" w:eastAsia="仿宋_GB2312"/>
          <w:sz w:val="24"/>
          <w:vertAlign w:val="superscript"/>
        </w:rPr>
        <w:t>1,2</w:t>
      </w:r>
      <w:r>
        <w:rPr>
          <w:rFonts w:hint="eastAsia" w:ascii="仿宋_GB2312" w:eastAsia="仿宋_GB2312"/>
          <w:sz w:val="24"/>
        </w:rPr>
        <w:t>，</w:t>
      </w:r>
      <w:r>
        <w:rPr>
          <w:rFonts w:hint="eastAsia" w:ascii="仿宋_GB2312" w:eastAsia="仿宋_GB2312"/>
          <w:sz w:val="24"/>
          <w:lang w:val="zh-CN"/>
        </w:rPr>
        <w:t>姓名</w:t>
      </w:r>
      <w:r>
        <w:rPr>
          <w:rFonts w:hint="eastAsia" w:ascii="仿宋_GB2312" w:eastAsia="仿宋_GB2312"/>
          <w:sz w:val="24"/>
          <w:vertAlign w:val="superscript"/>
        </w:rPr>
        <w:t>1,2</w:t>
      </w:r>
      <w:r>
        <w:rPr>
          <w:rFonts w:hint="eastAsia" w:ascii="仿宋_GB2312" w:eastAsia="仿宋_GB2312"/>
          <w:sz w:val="24"/>
        </w:rPr>
        <w:t>，</w:t>
      </w:r>
      <w:r>
        <w:rPr>
          <w:rFonts w:hint="eastAsia" w:ascii="仿宋_GB2312" w:eastAsia="仿宋_GB2312"/>
          <w:sz w:val="24"/>
          <w:lang w:val="zh-CN"/>
        </w:rPr>
        <w:t>姓名</w:t>
      </w:r>
      <w:r>
        <w:rPr>
          <w:rFonts w:hint="eastAsia" w:ascii="仿宋_GB2312" w:eastAsia="仿宋_GB2312"/>
          <w:sz w:val="24"/>
          <w:vertAlign w:val="superscript"/>
        </w:rPr>
        <w:t>2</w:t>
      </w:r>
      <w:r>
        <w:rPr>
          <w:rFonts w:hint="eastAsia" w:ascii="宋体"/>
          <w:sz w:val="18"/>
        </w:rPr>
        <w:t>（注：全英文）</w:t>
      </w:r>
    </w:p>
    <w:p>
      <w:pPr>
        <w:autoSpaceDE w:val="0"/>
        <w:autoSpaceDN w:val="0"/>
        <w:adjustRightInd w:val="0"/>
        <w:jc w:val="center"/>
        <w:rPr>
          <w:rFonts w:ascii="宋体"/>
          <w:sz w:val="18"/>
        </w:rPr>
      </w:pPr>
      <w:r>
        <w:rPr>
          <w:rFonts w:ascii="宋体"/>
          <w:sz w:val="18"/>
        </w:rPr>
        <w:t>(</w:t>
      </w:r>
      <w:r>
        <w:rPr>
          <w:rFonts w:ascii="宋体"/>
          <w:sz w:val="18"/>
          <w:lang w:val="zh-CN"/>
        </w:rPr>
        <w:t>1</w:t>
      </w:r>
      <w:r>
        <w:rPr>
          <w:rFonts w:ascii="宋体"/>
          <w:sz w:val="18"/>
        </w:rPr>
        <w:t>.</w:t>
      </w:r>
      <w:r>
        <w:rPr>
          <w:rFonts w:hint="eastAsia" w:ascii="宋体"/>
          <w:sz w:val="18"/>
          <w:lang w:val="zh-CN"/>
        </w:rPr>
        <w:t>单位，市 邮编，China；</w:t>
      </w:r>
      <w:r>
        <w:rPr>
          <w:rFonts w:ascii="宋体"/>
          <w:sz w:val="18"/>
        </w:rPr>
        <w:t xml:space="preserve"> </w:t>
      </w:r>
      <w:r>
        <w:rPr>
          <w:rFonts w:ascii="宋体"/>
          <w:sz w:val="18"/>
          <w:lang w:val="zh-CN"/>
        </w:rPr>
        <w:t>2</w:t>
      </w:r>
      <w:r>
        <w:rPr>
          <w:rFonts w:ascii="宋体"/>
          <w:sz w:val="18"/>
        </w:rPr>
        <w:t>.</w:t>
      </w:r>
      <w:r>
        <w:rPr>
          <w:rFonts w:hint="eastAsia" w:ascii="宋体"/>
          <w:sz w:val="18"/>
          <w:lang w:val="zh-CN"/>
        </w:rPr>
        <w:t xml:space="preserve"> 单位，市 邮编，China</w:t>
      </w:r>
      <w:r>
        <w:rPr>
          <w:rFonts w:ascii="宋体"/>
          <w:sz w:val="18"/>
        </w:rPr>
        <w:t>)</w:t>
      </w:r>
      <w:r>
        <w:rPr>
          <w:rFonts w:hint="eastAsia" w:ascii="宋体"/>
          <w:sz w:val="18"/>
        </w:rPr>
        <w:t>（注：全英文）</w:t>
      </w:r>
    </w:p>
    <w:p>
      <w:pPr>
        <w:autoSpaceDE w:val="0"/>
        <w:autoSpaceDN w:val="0"/>
        <w:adjustRightInd w:val="0"/>
        <w:rPr>
          <w:rFonts w:hint="eastAsia"/>
          <w:szCs w:val="21"/>
        </w:rPr>
      </w:pPr>
      <w:r>
        <w:rPr>
          <w:rFonts w:hint="eastAsia"/>
          <w:b/>
          <w:szCs w:val="21"/>
        </w:rPr>
        <w:t>Abstract:</w:t>
      </w:r>
      <w:r>
        <w:rPr>
          <w:rFonts w:hint="eastAsia"/>
          <w:szCs w:val="21"/>
        </w:rPr>
        <w:t xml:space="preserve"> </w:t>
      </w:r>
      <w:r>
        <w:rPr>
          <w:szCs w:val="21"/>
        </w:rPr>
        <w:t>Attention should be paid on variations of sediment transport characteristics and</w:t>
      </w:r>
      <w:r>
        <w:rPr>
          <w:rFonts w:hint="eastAsia"/>
          <w:szCs w:val="21"/>
        </w:rPr>
        <w:t xml:space="preserve"> </w:t>
      </w:r>
      <w:r>
        <w:rPr>
          <w:szCs w:val="21"/>
        </w:rPr>
        <w:t>their impacts on ports and navigation channels before reclaiming a bay.</w:t>
      </w:r>
    </w:p>
    <w:p>
      <w:pPr>
        <w:autoSpaceDE w:val="0"/>
        <w:autoSpaceDN w:val="0"/>
        <w:adjustRightInd w:val="0"/>
        <w:rPr>
          <w:rFonts w:hint="eastAsia"/>
          <w:szCs w:val="21"/>
        </w:rPr>
      </w:pPr>
      <w:r>
        <w:rPr>
          <w:rFonts w:hint="eastAsia"/>
          <w:b/>
          <w:szCs w:val="21"/>
        </w:rPr>
        <w:t>Key words:</w:t>
      </w:r>
      <w:r>
        <w:rPr>
          <w:rFonts w:hint="eastAsia"/>
          <w:szCs w:val="21"/>
        </w:rPr>
        <w:t xml:space="preserve"> </w:t>
      </w:r>
      <w:r>
        <w:rPr>
          <w:szCs w:val="21"/>
        </w:rPr>
        <w:t>sediment transport model; reclamation; coastline</w:t>
      </w:r>
    </w:p>
    <w:p>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第一作者简介及详细通讯地址、电话、传真、</w:t>
      </w:r>
      <w:bookmarkStart w:id="0" w:name="_GoBack"/>
      <w:bookmarkEnd w:id="0"/>
      <w:r>
        <w:rPr>
          <w:rFonts w:hint="eastAsia" w:ascii="仿宋_GB2312" w:hAnsi="仿宋_GB2312" w:eastAsia="仿宋_GB2312" w:cs="仿宋_GB2312"/>
          <w:b/>
          <w:bCs/>
          <w:sz w:val="28"/>
          <w:szCs w:val="28"/>
        </w:rPr>
        <w:t>手机号和电子邮件。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C6A7C"/>
    <w:multiLevelType w:val="multilevel"/>
    <w:tmpl w:val="192C6A7C"/>
    <w:lvl w:ilvl="0" w:tentative="0">
      <w:start w:val="1"/>
      <w:numFmt w:val="decimal"/>
      <w:lvlText w:val="[ %1 ] "/>
      <w:lvlJc w:val="left"/>
      <w:pPr>
        <w:tabs>
          <w:tab w:val="left" w:pos="648"/>
        </w:tabs>
        <w:ind w:left="200" w:firstLine="88"/>
      </w:pPr>
      <w:rPr>
        <w:rFonts w:hint="default" w:ascii="Times New Roman" w:hAnsi="Times New Roman" w:eastAsia="宋体"/>
        <w:caps w:val="0"/>
        <w:strike w:val="0"/>
        <w:dstrike w:val="0"/>
        <w:vanish w:val="0"/>
        <w:color w:val="auto"/>
        <w:spacing w:val="0"/>
        <w:w w:val="100"/>
        <w:kern w:val="18"/>
        <w:position w:val="0"/>
        <w:sz w:val="18"/>
        <w:u w:val="none"/>
        <w:vertAlign w:val="baseli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0E51D87"/>
    <w:multiLevelType w:val="multilevel"/>
    <w:tmpl w:val="20E51D87"/>
    <w:lvl w:ilvl="0" w:tentative="0">
      <w:start w:val="3"/>
      <w:numFmt w:val="decimal"/>
      <w:lvlText w:val="%1"/>
      <w:lvlJc w:val="left"/>
      <w:pPr>
        <w:tabs>
          <w:tab w:val="left" w:pos="540"/>
        </w:tabs>
        <w:ind w:left="540" w:hanging="540"/>
      </w:pPr>
      <w:rPr>
        <w:rFonts w:hint="default"/>
      </w:rPr>
    </w:lvl>
    <w:lvl w:ilvl="1" w:tentative="0">
      <w:start w:val="2"/>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B53C85"/>
    <w:rsid w:val="696B2FF2"/>
    <w:rsid w:val="6AB53C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宋体" w:cs="Times New Roman"/>
      <w:spacing w:val="-5"/>
      <w:lang w:val="en-US" w:eastAsia="zh-CN" w:bidi="ar-SA"/>
    </w:rPr>
  </w:style>
  <w:style w:type="paragraph" w:styleId="2">
    <w:name w:val="heading 1"/>
    <w:basedOn w:val="1"/>
    <w:next w:val="1"/>
    <w:qFormat/>
    <w:uiPriority w:val="0"/>
    <w:pPr>
      <w:keepNext/>
      <w:widowControl w:val="0"/>
      <w:spacing w:line="480" w:lineRule="exact"/>
      <w:jc w:val="center"/>
      <w:outlineLvl w:val="0"/>
    </w:pPr>
    <w:rPr>
      <w:rFonts w:cs="Arial"/>
      <w:b/>
      <w:bCs/>
      <w:spacing w:val="0"/>
      <w:kern w:val="2"/>
      <w:sz w:val="21"/>
    </w:rPr>
  </w:style>
  <w:style w:type="character" w:default="1" w:styleId="7">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caption"/>
    <w:basedOn w:val="1"/>
    <w:next w:val="1"/>
    <w:qFormat/>
    <w:uiPriority w:val="0"/>
    <w:pPr>
      <w:widowControl w:val="0"/>
      <w:spacing w:before="152" w:after="160"/>
      <w:jc w:val="both"/>
    </w:pPr>
    <w:rPr>
      <w:rFonts w:eastAsia="黑体" w:cs="Arial"/>
      <w:spacing w:val="0"/>
      <w:kern w:val="2"/>
    </w:rPr>
  </w:style>
  <w:style w:type="paragraph" w:styleId="4">
    <w:name w:val="footer"/>
    <w:basedOn w:val="1"/>
    <w:uiPriority w:val="0"/>
    <w:pPr>
      <w:tabs>
        <w:tab w:val="center" w:pos="4153"/>
        <w:tab w:val="right" w:pos="8306"/>
      </w:tabs>
      <w:snapToGrid w:val="0"/>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2019-03-25T08:48:00Z</dcterms:created>
  <dc:creator>寒冷之冬2018</dc:creator>
  <cp:lastModifiedBy>寒冷之冬2018</cp:lastModifiedBy>
  <dcterms:modified xsi:type="dcterms:W3CDTF">2019-03-25T08:57:09Z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